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Calibri" w:cs="Calibri" w:hAnsi="Calibri"/>
          <w:b/>
          <w:sz w:val="28"/>
          <w:szCs w:val="28"/>
        </w:rPr>
      </w:pPr>
      <w:bookmarkStart w:id="0" w:name="OLE_LINK12"/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Татарстане </w:t>
      </w:r>
      <w:r>
        <w:rPr>
          <w:b/>
          <w:sz w:val="28"/>
          <w:szCs w:val="28"/>
        </w:rPr>
        <w:t>подв</w:t>
      </w:r>
      <w:r>
        <w:rPr>
          <w:b/>
          <w:sz w:val="28"/>
          <w:szCs w:val="28"/>
          <w:lang w:val="tt-RU"/>
        </w:rPr>
        <w:t>одят</w:t>
      </w:r>
      <w:r>
        <w:rPr>
          <w:b/>
          <w:sz w:val="28"/>
          <w:szCs w:val="28"/>
        </w:rPr>
        <w:t xml:space="preserve"> итоги летней оздоровительной кампании 2019 года</w:t>
      </w:r>
    </w:p>
    <w:p>
      <w:pPr>
        <w:pStyle w:val="style0"/>
        <w:jc w:val="both"/>
        <w:rPr>
          <w:b/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Сегодня, 8</w:t>
      </w:r>
      <w:r>
        <w:rPr>
          <w:sz w:val="28"/>
          <w:szCs w:val="28"/>
        </w:rPr>
        <w:t xml:space="preserve"> октября, </w:t>
      </w:r>
      <w:r>
        <w:rPr>
          <w:sz w:val="28"/>
          <w:szCs w:val="28"/>
        </w:rPr>
        <w:t xml:space="preserve">в Кабинете Министров РТ </w:t>
      </w:r>
      <w:r>
        <w:rPr>
          <w:sz w:val="28"/>
          <w:szCs w:val="28"/>
        </w:rPr>
        <w:t>про</w:t>
      </w:r>
      <w:r>
        <w:rPr>
          <w:sz w:val="28"/>
          <w:szCs w:val="28"/>
          <w:lang w:val="tt-RU"/>
        </w:rPr>
        <w:t>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брифинг</w:t>
      </w:r>
      <w:r>
        <w:rPr>
          <w:sz w:val="28"/>
          <w:szCs w:val="28"/>
        </w:rPr>
        <w:t>, на котором подв</w:t>
      </w:r>
      <w:r>
        <w:rPr>
          <w:sz w:val="28"/>
          <w:szCs w:val="28"/>
        </w:rPr>
        <w:t>одят</w:t>
      </w:r>
      <w:r>
        <w:rPr>
          <w:sz w:val="28"/>
          <w:szCs w:val="28"/>
        </w:rPr>
        <w:t xml:space="preserve"> итоги летней оздоровительной кампании 2019 года.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В мероприятии при</w:t>
      </w:r>
      <w:r>
        <w:rPr>
          <w:sz w:val="28"/>
          <w:szCs w:val="28"/>
          <w:lang w:val="tt-RU"/>
        </w:rPr>
        <w:t>нимают</w:t>
      </w:r>
      <w:r>
        <w:rPr>
          <w:sz w:val="28"/>
          <w:szCs w:val="28"/>
          <w:lang w:val="tt-RU"/>
        </w:rPr>
        <w:t xml:space="preserve"> 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инистр по делам молодежи </w:t>
      </w:r>
      <w:r>
        <w:rPr>
          <w:sz w:val="28"/>
          <w:szCs w:val="28"/>
          <w:lang w:val="tt-RU"/>
        </w:rPr>
        <w:t xml:space="preserve">Татарстана </w:t>
      </w:r>
      <w:r>
        <w:rPr>
          <w:b/>
          <w:sz w:val="28"/>
          <w:szCs w:val="28"/>
        </w:rPr>
        <w:t>Дамир Фаттахов</w:t>
      </w:r>
      <w:r>
        <w:rPr>
          <w:sz w:val="28"/>
          <w:szCs w:val="28"/>
        </w:rPr>
        <w:t xml:space="preserve">, директор </w:t>
      </w:r>
      <w:r>
        <w:rPr>
          <w:sz w:val="28"/>
          <w:szCs w:val="28"/>
          <w:lang w:val="tt-RU"/>
        </w:rPr>
        <w:t>ГБУ</w:t>
      </w:r>
      <w:r>
        <w:rPr>
          <w:sz w:val="28"/>
          <w:szCs w:val="28"/>
        </w:rPr>
        <w:t xml:space="preserve"> «Республиканский центр по организации оздоровления, отдыха и занятости детей и подростков «ЛЕТО» </w:t>
      </w:r>
      <w:r>
        <w:rPr>
          <w:b/>
          <w:sz w:val="28"/>
          <w:szCs w:val="28"/>
        </w:rPr>
        <w:t xml:space="preserve">Раиль </w:t>
      </w:r>
      <w:r>
        <w:rPr>
          <w:b/>
          <w:sz w:val="28"/>
          <w:szCs w:val="28"/>
        </w:rPr>
        <w:t>Муратшин</w:t>
      </w:r>
      <w:r>
        <w:rPr>
          <w:sz w:val="28"/>
          <w:szCs w:val="28"/>
        </w:rPr>
        <w:t>, директор Респу</w:t>
      </w:r>
      <w:r>
        <w:rPr>
          <w:sz w:val="28"/>
          <w:szCs w:val="28"/>
        </w:rPr>
        <w:t>бликанского центра «Черноморец»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Евгений Ветров</w:t>
      </w:r>
      <w:r>
        <w:rPr>
          <w:sz w:val="28"/>
          <w:szCs w:val="28"/>
        </w:rPr>
        <w:t>.</w:t>
      </w:r>
    </w:p>
    <w:p>
      <w:pPr>
        <w:pStyle w:val="style0"/>
        <w:jc w:val="both"/>
        <w:rPr>
          <w:rFonts w:eastAsia="Calibri"/>
          <w:sz w:val="28"/>
          <w:szCs w:val="28"/>
        </w:rPr>
      </w:pPr>
    </w:p>
    <w:p>
      <w:pPr>
        <w:pStyle w:val="style0"/>
        <w:jc w:val="both"/>
        <w:rPr>
          <w:rFonts w:eastAsia="Calibri"/>
          <w:sz w:val="28"/>
          <w:szCs w:val="28"/>
          <w:lang w:val="tt-RU"/>
        </w:rPr>
      </w:pPr>
      <w:r>
        <w:rPr>
          <w:rFonts w:eastAsia="Calibri"/>
          <w:sz w:val="28"/>
          <w:szCs w:val="28"/>
        </w:rPr>
        <w:t xml:space="preserve">Организованными формами отдыха будут охвачены 218 672 ребенка. </w:t>
      </w:r>
      <w:r>
        <w:rPr>
          <w:rFonts w:eastAsia="Calibri"/>
          <w:sz w:val="28"/>
          <w:szCs w:val="28"/>
        </w:rPr>
        <w:t xml:space="preserve">В летний период 2019 года организован отдых 179 026 </w:t>
      </w:r>
      <w:r>
        <w:rPr>
          <w:rFonts w:eastAsia="Calibri"/>
          <w:sz w:val="28"/>
          <w:szCs w:val="28"/>
        </w:rPr>
        <w:t>детей</w:t>
      </w:r>
      <w:bookmarkStart w:id="1" w:name="_GoBack"/>
      <w:bookmarkEnd w:id="1"/>
      <w:r>
        <w:rPr>
          <w:rFonts w:eastAsia="Calibri"/>
          <w:sz w:val="28"/>
          <w:szCs w:val="28"/>
          <w:lang w:val="tt-RU"/>
        </w:rPr>
        <w:t>:</w:t>
      </w:r>
      <w:r>
        <w:t xml:space="preserve"> </w:t>
      </w:r>
      <w:r>
        <w:rPr>
          <w:rFonts w:eastAsia="Calibri"/>
          <w:sz w:val="28"/>
          <w:szCs w:val="28"/>
          <w:lang w:val="tt-RU"/>
        </w:rPr>
        <w:t>в стационарных лагерях</w:t>
      </w:r>
      <w:r>
        <w:rPr>
          <w:rFonts w:eastAsia="Calibri"/>
          <w:sz w:val="28"/>
          <w:szCs w:val="28"/>
          <w:lang w:val="tt-RU"/>
        </w:rPr>
        <w:t xml:space="preserve"> - </w:t>
      </w:r>
      <w:r>
        <w:rPr>
          <w:rFonts w:eastAsia="Calibri"/>
          <w:sz w:val="28"/>
          <w:szCs w:val="28"/>
          <w:lang w:val="tt-RU"/>
        </w:rPr>
        <w:t>87 232 чел</w:t>
      </w:r>
      <w:r>
        <w:rPr>
          <w:rFonts w:eastAsia="Calibri"/>
          <w:sz w:val="28"/>
          <w:szCs w:val="28"/>
          <w:lang w:val="tt-RU"/>
        </w:rPr>
        <w:t>.,</w:t>
      </w:r>
      <w:r>
        <w:t xml:space="preserve"> </w:t>
      </w:r>
      <w:r>
        <w:rPr>
          <w:rFonts w:eastAsia="Calibri"/>
          <w:sz w:val="28"/>
          <w:szCs w:val="28"/>
          <w:lang w:val="tt-RU"/>
        </w:rPr>
        <w:t>в санаторных учреждениях</w:t>
      </w:r>
      <w:r>
        <w:rPr>
          <w:rFonts w:eastAsia="Calibri"/>
          <w:sz w:val="28"/>
          <w:szCs w:val="28"/>
          <w:lang w:val="tt-RU"/>
        </w:rPr>
        <w:t xml:space="preserve"> -</w:t>
      </w:r>
      <w:r>
        <w:rPr>
          <w:rFonts w:eastAsia="Calibri"/>
          <w:sz w:val="28"/>
          <w:szCs w:val="28"/>
          <w:lang w:val="tt-RU"/>
        </w:rPr>
        <w:t xml:space="preserve"> 5 290 чел</w:t>
      </w:r>
      <w:r>
        <w:rPr>
          <w:rFonts w:eastAsia="Calibri"/>
          <w:sz w:val="28"/>
          <w:szCs w:val="28"/>
          <w:lang w:val="tt-RU"/>
        </w:rPr>
        <w:t>.,</w:t>
      </w:r>
      <w:r>
        <w:t xml:space="preserve"> </w:t>
      </w:r>
      <w:r>
        <w:rPr>
          <w:rFonts w:eastAsia="Calibri"/>
          <w:sz w:val="28"/>
          <w:szCs w:val="28"/>
          <w:lang w:val="tt-RU"/>
        </w:rPr>
        <w:t>в лагерях на Черноморском побережье</w:t>
      </w:r>
      <w:r>
        <w:rPr>
          <w:rFonts w:eastAsia="Calibri"/>
          <w:sz w:val="28"/>
          <w:szCs w:val="28"/>
          <w:lang w:val="tt-RU"/>
        </w:rPr>
        <w:t xml:space="preserve"> - </w:t>
      </w:r>
      <w:r>
        <w:rPr>
          <w:rFonts w:eastAsia="Calibri"/>
          <w:sz w:val="28"/>
          <w:szCs w:val="28"/>
          <w:lang w:val="tt-RU"/>
        </w:rPr>
        <w:t>5 250 чел</w:t>
      </w:r>
      <w:r>
        <w:rPr>
          <w:rFonts w:eastAsia="Calibri"/>
          <w:sz w:val="28"/>
          <w:szCs w:val="28"/>
          <w:lang w:val="tt-RU"/>
        </w:rPr>
        <w:t xml:space="preserve">., </w:t>
      </w:r>
      <w:r>
        <w:rPr>
          <w:rFonts w:eastAsia="Calibri"/>
          <w:sz w:val="28"/>
          <w:szCs w:val="28"/>
          <w:lang w:val="tt-RU"/>
        </w:rPr>
        <w:t>в палаточных лагерях</w:t>
      </w:r>
      <w:r>
        <w:rPr>
          <w:rFonts w:eastAsia="Calibri"/>
          <w:sz w:val="28"/>
          <w:szCs w:val="28"/>
          <w:lang w:val="tt-RU"/>
        </w:rPr>
        <w:t xml:space="preserve"> - </w:t>
      </w:r>
      <w:r>
        <w:rPr>
          <w:rFonts w:eastAsia="Calibri"/>
          <w:sz w:val="28"/>
          <w:szCs w:val="28"/>
          <w:lang w:val="tt-RU"/>
        </w:rPr>
        <w:t>12</w:t>
      </w:r>
      <w:r>
        <w:rPr>
          <w:rFonts w:eastAsia="Calibri"/>
          <w:sz w:val="28"/>
          <w:szCs w:val="28"/>
          <w:lang w:val="tt-RU"/>
        </w:rPr>
        <w:t> </w:t>
      </w:r>
      <w:r>
        <w:rPr>
          <w:rFonts w:eastAsia="Calibri"/>
          <w:sz w:val="28"/>
          <w:szCs w:val="28"/>
          <w:lang w:val="tt-RU"/>
        </w:rPr>
        <w:t>179</w:t>
      </w:r>
      <w:r>
        <w:rPr>
          <w:rFonts w:eastAsia="Calibri"/>
          <w:sz w:val="28"/>
          <w:szCs w:val="28"/>
          <w:lang w:val="tt-RU"/>
        </w:rPr>
        <w:t xml:space="preserve"> </w:t>
      </w:r>
      <w:r>
        <w:rPr>
          <w:rFonts w:eastAsia="Calibri"/>
          <w:sz w:val="28"/>
          <w:szCs w:val="28"/>
          <w:lang w:val="tt-RU"/>
        </w:rPr>
        <w:t>чел.</w:t>
      </w:r>
      <w:r>
        <w:rPr>
          <w:rFonts w:eastAsia="Calibri"/>
          <w:sz w:val="28"/>
          <w:szCs w:val="28"/>
          <w:lang w:val="tt-RU"/>
        </w:rPr>
        <w:t>,</w:t>
      </w:r>
      <w:r>
        <w:t xml:space="preserve"> </w:t>
      </w:r>
      <w:r>
        <w:rPr>
          <w:rFonts w:eastAsia="Calibri"/>
          <w:sz w:val="28"/>
          <w:szCs w:val="28"/>
          <w:lang w:val="tt-RU"/>
        </w:rPr>
        <w:t>в лагерях дневного пребывания</w:t>
      </w:r>
      <w:r>
        <w:rPr>
          <w:rFonts w:eastAsia="Calibri"/>
          <w:sz w:val="28"/>
          <w:szCs w:val="28"/>
          <w:lang w:val="tt-RU"/>
        </w:rPr>
        <w:t xml:space="preserve"> - </w:t>
      </w:r>
      <w:r>
        <w:rPr>
          <w:rFonts w:eastAsia="Calibri"/>
          <w:sz w:val="28"/>
          <w:szCs w:val="28"/>
          <w:lang w:val="tt-RU"/>
        </w:rPr>
        <w:t>57 075 чел</w:t>
      </w:r>
      <w:r>
        <w:rPr>
          <w:rFonts w:eastAsia="Calibri"/>
          <w:sz w:val="28"/>
          <w:szCs w:val="28"/>
          <w:lang w:val="tt-RU"/>
        </w:rPr>
        <w:t xml:space="preserve">., </w:t>
      </w:r>
      <w:r>
        <w:rPr>
          <w:rFonts w:eastAsia="Calibri"/>
          <w:sz w:val="28"/>
          <w:szCs w:val="28"/>
          <w:lang w:val="tt-RU"/>
        </w:rPr>
        <w:t>в лагерях труда и отдыха</w:t>
      </w:r>
      <w:r>
        <w:rPr>
          <w:rFonts w:eastAsia="Calibri"/>
          <w:sz w:val="28"/>
          <w:szCs w:val="28"/>
          <w:lang w:val="tt-RU"/>
        </w:rPr>
        <w:t xml:space="preserve"> - </w:t>
      </w:r>
      <w:r>
        <w:rPr>
          <w:rFonts w:eastAsia="Calibri"/>
          <w:sz w:val="28"/>
          <w:szCs w:val="28"/>
          <w:lang w:val="tt-RU"/>
        </w:rPr>
        <w:t>12 000 чел.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к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рограмме отдыха дети и подростки нашей республики имеют возможность отдыхать в Международном детском центре «Артек». На сегодняшний день направлено 357 детей из 24 </w:t>
      </w:r>
      <w:r>
        <w:rPr>
          <w:sz w:val="28"/>
          <w:szCs w:val="28"/>
          <w:lang w:val="tt-RU"/>
        </w:rPr>
        <w:t>муниципальных образований</w:t>
      </w:r>
      <w:r>
        <w:rPr>
          <w:sz w:val="28"/>
          <w:szCs w:val="28"/>
        </w:rPr>
        <w:t xml:space="preserve"> Республики Татарстан. Всего в этом году запланировано организовать отдых 465</w:t>
      </w:r>
      <w:r>
        <w:rPr>
          <w:sz w:val="28"/>
          <w:szCs w:val="28"/>
        </w:rPr>
        <w:t xml:space="preserve"> детей республики. </w:t>
      </w:r>
      <w:r>
        <w:rPr>
          <w:sz w:val="28"/>
          <w:szCs w:val="28"/>
        </w:rPr>
        <w:t xml:space="preserve">Также во Всероссийский детский центр «Орленок» согласно отведенной квоте направляется 135 татарстанских детей. 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Всего за летний период в проведен</w:t>
      </w:r>
      <w:r>
        <w:rPr>
          <w:sz w:val="28"/>
          <w:szCs w:val="28"/>
        </w:rPr>
        <w:t>ных</w:t>
      </w:r>
      <w:r>
        <w:rPr>
          <w:sz w:val="28"/>
          <w:szCs w:val="28"/>
        </w:rPr>
        <w:t xml:space="preserve"> 130 республиканских профильных сменах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 охват 69 800 человек по основным направлениям государственной молодежной политики: гражданско-патриотические, физкультурно-спортивные, туристско-краеведческие, социально-педагогические, интеллектуальные, языковые, творческие, IT-смены. Такие направления учитывают интересы современных детей и предлагают им возможность развивать свои увлечения, решают задачу ранней профориентации. 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</w:t>
      </w:r>
      <w:r>
        <w:rPr>
          <w:sz w:val="28"/>
          <w:szCs w:val="28"/>
        </w:rPr>
        <w:t xml:space="preserve"> году финансирование оздоровительной кампании из бюджета Республики Татарстан составило 1 536,9 </w:t>
      </w:r>
      <w:r>
        <w:rPr>
          <w:sz w:val="28"/>
          <w:szCs w:val="28"/>
        </w:rPr>
        <w:t>млн.рублей</w:t>
      </w:r>
      <w:r>
        <w:rPr>
          <w:sz w:val="28"/>
          <w:szCs w:val="28"/>
        </w:rPr>
        <w:t xml:space="preserve">, что на 78,1 </w:t>
      </w:r>
      <w:r>
        <w:rPr>
          <w:sz w:val="28"/>
          <w:szCs w:val="28"/>
        </w:rPr>
        <w:t>млн.рублей</w:t>
      </w:r>
      <w:r>
        <w:rPr>
          <w:sz w:val="28"/>
          <w:szCs w:val="28"/>
        </w:rPr>
        <w:t xml:space="preserve"> больше 2018 года</w:t>
      </w:r>
      <w:r>
        <w:rPr>
          <w:sz w:val="28"/>
          <w:szCs w:val="28"/>
        </w:rPr>
        <w:t>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Напомним, что в рамках </w:t>
      </w:r>
      <w:r>
        <w:rPr>
          <w:sz w:val="28"/>
          <w:szCs w:val="28"/>
        </w:rPr>
        <w:t>республиканск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капитального ремонта, реконструкции и строительства учреждений отдыха и оздоровления детей и молодежи на 2019 – 2021 годы «Лето – детям»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2019 году выделено 1 459,440 </w:t>
      </w:r>
      <w:r>
        <w:rPr>
          <w:rFonts w:eastAsia="Calibri"/>
          <w:sz w:val="28"/>
          <w:szCs w:val="28"/>
        </w:rPr>
        <w:t>млн.рублей</w:t>
      </w:r>
      <w:r>
        <w:rPr>
          <w:rFonts w:eastAsia="Calibri"/>
          <w:sz w:val="28"/>
          <w:szCs w:val="28"/>
        </w:rPr>
        <w:t xml:space="preserve"> на 21 лагерь: </w:t>
      </w:r>
      <w:r>
        <w:rPr>
          <w:rFonts w:eastAsia="Calibri"/>
          <w:sz w:val="28"/>
          <w:szCs w:val="28"/>
        </w:rPr>
        <w:t>капитальный ремонт – 7 лагерей; с</w:t>
      </w:r>
      <w:r>
        <w:rPr>
          <w:rFonts w:eastAsia="Calibri"/>
          <w:sz w:val="28"/>
          <w:szCs w:val="28"/>
        </w:rPr>
        <w:t>троительство – 4 лагерей;</w:t>
      </w:r>
    </w:p>
    <w:p>
      <w:pPr>
        <w:pStyle w:val="style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еконструкция – 2 лагер</w:t>
      </w:r>
      <w:r>
        <w:rPr>
          <w:rFonts w:eastAsia="Calibri"/>
          <w:sz w:val="28"/>
          <w:szCs w:val="28"/>
        </w:rPr>
        <w:t>ей; к</w:t>
      </w:r>
      <w:r>
        <w:rPr>
          <w:rFonts w:eastAsia="Calibri"/>
          <w:sz w:val="28"/>
          <w:szCs w:val="28"/>
        </w:rPr>
        <w:t>апитальный ремо</w:t>
      </w:r>
      <w:r>
        <w:rPr>
          <w:rFonts w:eastAsia="Calibri"/>
          <w:sz w:val="28"/>
          <w:szCs w:val="28"/>
        </w:rPr>
        <w:t>нт и строительство – 7 лагерей; к</w:t>
      </w:r>
      <w:r>
        <w:rPr>
          <w:rFonts w:eastAsia="Calibri"/>
          <w:sz w:val="28"/>
          <w:szCs w:val="28"/>
        </w:rPr>
        <w:t>апитальный ремонт и реконструкция – 1 лагеря</w:t>
      </w:r>
      <w:r>
        <w:rPr>
          <w:rFonts w:eastAsia="Calibri"/>
          <w:sz w:val="28"/>
          <w:szCs w:val="28"/>
        </w:rPr>
        <w:t xml:space="preserve">. </w:t>
      </w:r>
    </w:p>
    <w:p>
      <w:pPr>
        <w:pStyle w:val="style0"/>
        <w:jc w:val="both"/>
        <w:rPr>
          <w:rFonts w:eastAsia="Calibri"/>
          <w:sz w:val="28"/>
          <w:szCs w:val="28"/>
        </w:rPr>
      </w:pPr>
    </w:p>
    <w:p>
      <w:pPr>
        <w:pStyle w:val="style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том числе будут построены 2 новых типовые лагеря на 100 мест в Камско-</w:t>
      </w:r>
      <w:r>
        <w:rPr>
          <w:rFonts w:eastAsia="Calibri"/>
          <w:sz w:val="28"/>
          <w:szCs w:val="28"/>
        </w:rPr>
        <w:t>Устьинском</w:t>
      </w:r>
      <w:r>
        <w:rPr>
          <w:rFonts w:eastAsia="Calibri"/>
          <w:sz w:val="28"/>
          <w:szCs w:val="28"/>
        </w:rPr>
        <w:t xml:space="preserve"> муниципальном районе Республики Татарстан и «Восток» в </w:t>
      </w:r>
      <w:r>
        <w:rPr>
          <w:rFonts w:eastAsia="Calibri"/>
          <w:sz w:val="28"/>
          <w:szCs w:val="28"/>
        </w:rPr>
        <w:t>г.Казани</w:t>
      </w:r>
      <w:r>
        <w:rPr>
          <w:rFonts w:eastAsia="Calibri"/>
          <w:sz w:val="28"/>
          <w:szCs w:val="28"/>
        </w:rPr>
        <w:t xml:space="preserve"> на 200 мест.</w:t>
      </w:r>
    </w:p>
    <w:bookmarkEnd w:id="0"/>
    <w:p>
      <w:pPr>
        <w:pStyle w:val="style0"/>
        <w:jc w:val="both"/>
        <w:rPr>
          <w:rFonts w:eastAsia="Calibri"/>
          <w:sz w:val="28"/>
          <w:szCs w:val="28"/>
        </w:rPr>
      </w:pPr>
    </w:p>
    <w:sectPr>
      <w:footerReference w:type="even" r:id="rId2"/>
      <w:pgSz w:w="11906" w:h="16838" w:orient="portrait"/>
      <w:pgMar w:top="719" w:right="56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7</w:t>
    </w:r>
    <w:r>
      <w:rPr>
        <w:rStyle w:val="style41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9540434"/>
    <w:lvl w:ilvl="0" w:tplc="B8566F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1"/>
    <w:multiLevelType w:val="hybridMultilevel"/>
    <w:tmpl w:val="0A3A8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82C5F04"/>
    <w:lvl w:ilvl="0" w:tplc="D32A84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C308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F12596A"/>
    <w:lvl w:ilvl="0" w:tplc="929C1800">
      <w:start w:val="87"/>
      <w:numFmt w:val="bullet"/>
      <w:lvlText w:val="-"/>
      <w:lvlJc w:val="left"/>
      <w:pPr>
        <w:ind w:left="435" w:hanging="360"/>
      </w:pPr>
      <w:rPr>
        <w:rFonts w:ascii="Times New Roman" w:cs="Times New Roman" w:eastAsia="Calibri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1DAF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2E63D70"/>
    <w:lvl w:ilvl="0" w:tplc="04190005">
      <w:start w:val="1"/>
      <w:numFmt w:val="bullet"/>
      <w:lvlText w:val="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C504E7C0" w:tentative="1">
      <w:start w:val="1"/>
      <w:numFmt w:val="bullet"/>
      <w:lvlText w:val="•"/>
      <w:lvlJc w:val="left"/>
      <w:pPr>
        <w:tabs>
          <w:tab w:val="left" w:leader="none" w:pos="1080"/>
        </w:tabs>
        <w:ind w:left="1080" w:hanging="360"/>
      </w:pPr>
      <w:rPr>
        <w:rFonts w:ascii="Arial" w:hAnsi="Arial" w:hint="default"/>
      </w:rPr>
    </w:lvl>
    <w:lvl w:ilvl="2" w:tplc="76F289AE" w:tentative="1">
      <w:start w:val="1"/>
      <w:numFmt w:val="bullet"/>
      <w:lvlText w:val="•"/>
      <w:lvlJc w:val="left"/>
      <w:pPr>
        <w:tabs>
          <w:tab w:val="left" w:leader="none" w:pos="1800"/>
        </w:tabs>
        <w:ind w:left="1800" w:hanging="360"/>
      </w:pPr>
      <w:rPr>
        <w:rFonts w:ascii="Arial" w:hAnsi="Arial" w:hint="default"/>
      </w:rPr>
    </w:lvl>
    <w:lvl w:ilvl="3" w:tplc="5A2000D6" w:tentative="1">
      <w:start w:val="1"/>
      <w:numFmt w:val="bullet"/>
      <w:lvlText w:val="•"/>
      <w:lvlJc w:val="left"/>
      <w:pPr>
        <w:tabs>
          <w:tab w:val="left" w:leader="none" w:pos="2520"/>
        </w:tabs>
        <w:ind w:left="2520" w:hanging="360"/>
      </w:pPr>
      <w:rPr>
        <w:rFonts w:ascii="Arial" w:hAnsi="Arial" w:hint="default"/>
      </w:rPr>
    </w:lvl>
    <w:lvl w:ilvl="4" w:tplc="7D22F7E8" w:tentative="1">
      <w:start w:val="1"/>
      <w:numFmt w:val="bullet"/>
      <w:lvlText w:val="•"/>
      <w:lvlJc w:val="left"/>
      <w:pPr>
        <w:tabs>
          <w:tab w:val="left" w:leader="none" w:pos="3240"/>
        </w:tabs>
        <w:ind w:left="3240" w:hanging="360"/>
      </w:pPr>
      <w:rPr>
        <w:rFonts w:ascii="Arial" w:hAnsi="Arial" w:hint="default"/>
      </w:rPr>
    </w:lvl>
    <w:lvl w:ilvl="5" w:tplc="3D7651DE" w:tentative="1">
      <w:start w:val="1"/>
      <w:numFmt w:val="bullet"/>
      <w:lvlText w:val="•"/>
      <w:lvlJc w:val="left"/>
      <w:pPr>
        <w:tabs>
          <w:tab w:val="left" w:leader="none" w:pos="3960"/>
        </w:tabs>
        <w:ind w:left="3960" w:hanging="360"/>
      </w:pPr>
      <w:rPr>
        <w:rFonts w:ascii="Arial" w:hAnsi="Arial" w:hint="default"/>
      </w:rPr>
    </w:lvl>
    <w:lvl w:ilvl="6" w:tplc="3092DB7A" w:tentative="1">
      <w:start w:val="1"/>
      <w:numFmt w:val="bullet"/>
      <w:lvlText w:val="•"/>
      <w:lvlJc w:val="left"/>
      <w:pPr>
        <w:tabs>
          <w:tab w:val="left" w:leader="none" w:pos="4680"/>
        </w:tabs>
        <w:ind w:left="4680" w:hanging="360"/>
      </w:pPr>
      <w:rPr>
        <w:rFonts w:ascii="Arial" w:hAnsi="Arial" w:hint="default"/>
      </w:rPr>
    </w:lvl>
    <w:lvl w:ilvl="7" w:tplc="60E82FF2" w:tentative="1">
      <w:start w:val="1"/>
      <w:numFmt w:val="bullet"/>
      <w:lvlText w:val="•"/>
      <w:lvlJc w:val="left"/>
      <w:pPr>
        <w:tabs>
          <w:tab w:val="left" w:leader="none" w:pos="5400"/>
        </w:tabs>
        <w:ind w:left="5400" w:hanging="360"/>
      </w:pPr>
      <w:rPr>
        <w:rFonts w:ascii="Arial" w:hAnsi="Arial" w:hint="default"/>
      </w:rPr>
    </w:lvl>
    <w:lvl w:ilvl="8" w:tplc="CC82207A" w:tentative="1">
      <w:start w:val="1"/>
      <w:numFmt w:val="bullet"/>
      <w:lvlText w:val="•"/>
      <w:lvlJc w:val="left"/>
      <w:pPr>
        <w:tabs>
          <w:tab w:val="left" w:leader="none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">
    <w:name w:val="heading 1"/>
    <w:basedOn w:val="style0"/>
    <w:next w:val="style1"/>
    <w:link w:val="style4101"/>
    <w:qFormat/>
    <w:uiPriority w:val="9"/>
    <w:pPr>
      <w:spacing w:before="100" w:beforeAutospacing="true" w:after="100" w:afterAutospacing="true"/>
      <w:outlineLvl w:val="0"/>
    </w:pPr>
    <w:rPr>
      <w:b/>
      <w:bCs/>
      <w:kern w:val="36"/>
      <w:sz w:val="48"/>
      <w:szCs w:val="48"/>
    </w:rPr>
  </w:style>
  <w:style w:type="paragraph" w:styleId="style2">
    <w:name w:val="heading 2"/>
    <w:basedOn w:val="style0"/>
    <w:next w:val="style0"/>
    <w:link w:val="style4102"/>
    <w:qFormat/>
    <w:uiPriority w:val="9"/>
    <w:pPr>
      <w:keepNext/>
      <w:keepLines/>
      <w:spacing w:before="40"/>
      <w:outlineLvl w:val="1"/>
    </w:pPr>
    <w:rPr>
      <w:rFonts w:ascii="Calibri Light" w:cs="宋体" w:eastAsia="宋体" w:hAnsi="Calibri Light"/>
      <w:color w:val="2e74b5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qFormat/>
    <w:uiPriority w:val="99"/>
    <w:pPr>
      <w:spacing w:before="100" w:beforeAutospacing="true" w:after="100" w:afterAutospacing="true"/>
    </w:pPr>
    <w:rPr/>
  </w:style>
  <w:style w:type="paragraph" w:styleId="style80">
    <w:name w:val="Body Text 2"/>
    <w:basedOn w:val="style0"/>
    <w:next w:val="style80"/>
    <w:link w:val="style4097"/>
    <w:pPr>
      <w:autoSpaceDE w:val="false"/>
      <w:autoSpaceDN w:val="false"/>
      <w:ind w:firstLine="426"/>
      <w:jc w:val="both"/>
    </w:pPr>
    <w:rPr>
      <w:sz w:val="28"/>
      <w:szCs w:val="28"/>
    </w:rPr>
  </w:style>
  <w:style w:type="character" w:customStyle="1" w:styleId="style4097">
    <w:name w:val="Основной текст 2 Знак"/>
    <w:basedOn w:val="style65"/>
    <w:next w:val="style4097"/>
    <w:link w:val="style80"/>
    <w:rPr>
      <w:rFonts w:ascii="Times New Roman" w:cs="Times New Roman" w:eastAsia="Times New Roman" w:hAnsi="Times New Roman"/>
      <w:sz w:val="28"/>
      <w:szCs w:val="28"/>
      <w:lang w:eastAsia="ru-RU"/>
    </w:rPr>
  </w:style>
  <w:style w:type="character" w:customStyle="1" w:styleId="style4098">
    <w:name w:val="artheader21"/>
    <w:next w:val="style4098"/>
    <w:rPr>
      <w:rFonts w:ascii="Arial tat" w:hAnsi="Arial tat" w:hint="default"/>
      <w:b/>
      <w:bCs/>
      <w:color w:val="1b81c9"/>
      <w:sz w:val="24"/>
      <w:szCs w:val="24"/>
      <w:u w:val="none"/>
      <w:effect w:val="none"/>
    </w:rPr>
  </w:style>
  <w:style w:type="paragraph" w:styleId="style32">
    <w:name w:val="footer"/>
    <w:basedOn w:val="style0"/>
    <w:next w:val="style32"/>
    <w:link w:val="style4099"/>
    <w:pPr>
      <w:tabs>
        <w:tab w:val="center" w:leader="none" w:pos="4677"/>
        <w:tab w:val="right" w:leader="none" w:pos="9355"/>
      </w:tabs>
    </w:pPr>
    <w:rPr/>
  </w:style>
  <w:style w:type="character" w:customStyle="1" w:styleId="style4099">
    <w:name w:val="Нижний колонтитул Знак"/>
    <w:basedOn w:val="style65"/>
    <w:next w:val="style4099"/>
    <w:link w:val="style32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41">
    <w:name w:val="page number"/>
    <w:basedOn w:val="style65"/>
    <w:next w:val="style41"/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style4100">
    <w:name w:val="обычный"/>
    <w:basedOn w:val="style0"/>
    <w:next w:val="style4100"/>
    <w:pPr/>
    <w:rPr>
      <w:color w:val="000000"/>
      <w:sz w:val="20"/>
      <w:szCs w:val="20"/>
    </w:rPr>
  </w:style>
  <w:style w:type="character" w:customStyle="1" w:styleId="style4101">
    <w:name w:val="Заголовок 1 Знак"/>
    <w:basedOn w:val="style65"/>
    <w:next w:val="style4101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2">
    <w:name w:val="Заголовок 2 Знак"/>
    <w:basedOn w:val="style65"/>
    <w:next w:val="style4102"/>
    <w:link w:val="style2"/>
    <w:uiPriority w:val="9"/>
    <w:rPr>
      <w:rFonts w:ascii="Calibri Light" w:cs="宋体" w:eastAsia="宋体" w:hAnsi="Calibri Light"/>
      <w:color w:val="2e74b5"/>
      <w:sz w:val="26"/>
      <w:szCs w:val="26"/>
      <w:lang w:eastAsia="ru-RU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3">
    <w:name w:val="Balloon Text"/>
    <w:basedOn w:val="style0"/>
    <w:next w:val="style153"/>
    <w:link w:val="style4103"/>
    <w:uiPriority w:val="99"/>
    <w:pPr/>
    <w:rPr>
      <w:rFonts w:ascii="Segoe UI" w:cs="Segoe UI" w:hAnsi="Segoe UI"/>
      <w:sz w:val="18"/>
      <w:szCs w:val="18"/>
    </w:rPr>
  </w:style>
  <w:style w:type="character" w:customStyle="1" w:styleId="style4103">
    <w:name w:val="Текст выноски Знак"/>
    <w:basedOn w:val="style65"/>
    <w:next w:val="style4103"/>
    <w:link w:val="style153"/>
    <w:uiPriority w:val="99"/>
    <w:rPr>
      <w:rFonts w:ascii="Segoe UI" w:cs="Segoe UI" w:eastAsia="Times New Roman" w:hAnsi="Segoe UI"/>
      <w:sz w:val="18"/>
      <w:szCs w:val="18"/>
      <w:lang w:eastAsia="ru-RU"/>
    </w:rPr>
  </w:style>
  <w:style w:type="paragraph" w:styleId="style31">
    <w:name w:val="header"/>
    <w:basedOn w:val="style0"/>
    <w:next w:val="style31"/>
    <w:link w:val="style4104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4">
    <w:name w:val="Верхний колонтитул Знак"/>
    <w:basedOn w:val="style65"/>
    <w:next w:val="style4104"/>
    <w:link w:val="style31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327</Words>
  <Pages>1</Pages>
  <Characters>2144</Characters>
  <Application>WPS Office</Application>
  <DocSecurity>0</DocSecurity>
  <Paragraphs>24</Paragraphs>
  <ScaleCrop>false</ScaleCrop>
  <LinksUpToDate>false</LinksUpToDate>
  <CharactersWithSpaces>2470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2019-10-08T07:13:16Z</dcterms:created>
  <dc:creator>Дмитрий Чирков</dc:creator>
  <lastModifiedBy>Redmi Note 4</lastModifiedBy>
  <lastPrinted>2019-10-07T15:38:00Z</lastPrinted>
  <dcterms:modified xsi:type="dcterms:W3CDTF">2019-10-08T07:13:16Z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