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6" w:rsidRPr="00C043F7" w:rsidRDefault="00CC2666" w:rsidP="00CC266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C2666" w:rsidRPr="00C043F7" w:rsidRDefault="00CC2666" w:rsidP="00CC2666">
      <w:pPr>
        <w:jc w:val="right"/>
        <w:rPr>
          <w:sz w:val="24"/>
          <w:szCs w:val="24"/>
        </w:rPr>
      </w:pP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C2666" w:rsidRPr="00C043F7" w:rsidRDefault="00CC2666" w:rsidP="00CC266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C2666" w:rsidRPr="00C043F7" w:rsidRDefault="00CC2666" w:rsidP="00CC2666">
      <w:pPr>
        <w:jc w:val="center"/>
        <w:rPr>
          <w:szCs w:val="28"/>
        </w:rPr>
      </w:pPr>
    </w:p>
    <w:p w:rsidR="00CC2666" w:rsidRPr="00C043F7" w:rsidRDefault="00CC2666" w:rsidP="00CC266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B40E10">
        <w:tc>
          <w:tcPr>
            <w:tcW w:w="5211" w:type="dxa"/>
            <w:shd w:val="clear" w:color="auto" w:fill="auto"/>
          </w:tcPr>
          <w:p w:rsidR="00815A44" w:rsidRPr="00B40E10" w:rsidRDefault="00F20586" w:rsidP="00F20586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корректировке на второе полугодие 201</w:t>
            </w:r>
            <w:r w:rsidRPr="00654953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 xml:space="preserve"> года долгосрочных </w:t>
            </w:r>
            <w:r w:rsidRPr="00DD203D">
              <w:rPr>
                <w:bCs/>
                <w:szCs w:val="28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  <w:r>
              <w:rPr>
                <w:bCs/>
                <w:szCs w:val="28"/>
              </w:rPr>
              <w:t xml:space="preserve">, установленных постановлением Государственного комитета Республики Татарстан по тарифам </w:t>
            </w:r>
            <w:r w:rsidRPr="00D23CB9">
              <w:rPr>
                <w:bCs/>
                <w:szCs w:val="28"/>
              </w:rPr>
              <w:t>от 1</w:t>
            </w:r>
            <w:r w:rsidRPr="00DD203D">
              <w:rPr>
                <w:bCs/>
                <w:szCs w:val="28"/>
              </w:rPr>
              <w:t>7</w:t>
            </w:r>
            <w:r w:rsidRPr="00D23CB9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t xml:space="preserve"> </w:t>
            </w:r>
            <w:r w:rsidRPr="00D23CB9">
              <w:rPr>
                <w:bCs/>
                <w:szCs w:val="28"/>
              </w:rPr>
              <w:t>№ 3-1</w:t>
            </w:r>
            <w:r w:rsidRPr="00DD203D">
              <w:rPr>
                <w:bCs/>
                <w:szCs w:val="28"/>
              </w:rPr>
              <w:t>8</w:t>
            </w:r>
            <w:r w:rsidRPr="00D23CB9">
              <w:rPr>
                <w:bCs/>
                <w:szCs w:val="28"/>
              </w:rPr>
              <w:t xml:space="preserve">/э «Об установлении </w:t>
            </w:r>
            <w:r w:rsidRPr="00DD203D">
              <w:rPr>
                <w:bCs/>
                <w:szCs w:val="28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 на 2015-2019 годы</w:t>
            </w:r>
            <w:r w:rsidRPr="00D23CB9">
              <w:rPr>
                <w:bCs/>
                <w:szCs w:val="28"/>
              </w:rPr>
              <w:t>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>В</w:t>
      </w:r>
      <w:r w:rsidR="0051224F">
        <w:rPr>
          <w:szCs w:val="28"/>
        </w:rPr>
        <w:t>о исполнени</w:t>
      </w:r>
      <w:r w:rsidR="009029D2">
        <w:rPr>
          <w:szCs w:val="28"/>
        </w:rPr>
        <w:t>е</w:t>
      </w:r>
      <w:r w:rsidR="00B54B3B">
        <w:rPr>
          <w:szCs w:val="28"/>
        </w:rPr>
        <w:t xml:space="preserve"> </w:t>
      </w:r>
      <w:r w:rsidR="00B54B3B">
        <w:t>приказ</w:t>
      </w:r>
      <w:r w:rsidR="0051224F">
        <w:t>а</w:t>
      </w:r>
      <w:r w:rsidR="00B54B3B">
        <w:t xml:space="preserve"> ФАС России от 07.06.2018 № 777/18 «</w:t>
      </w:r>
      <w:r w:rsidR="00B54B3B" w:rsidRPr="000E00D4">
        <w:t>Об отмене постановления Государственного комитета Республики</w:t>
      </w:r>
      <w:r w:rsidR="00B54B3B">
        <w:t xml:space="preserve"> </w:t>
      </w:r>
      <w:r w:rsidR="00B54B3B" w:rsidRPr="000E00D4">
        <w:t>Татарстан по тарифам от 01.12.2017 №</w:t>
      </w:r>
      <w:r w:rsidR="00B54B3B">
        <w:t> </w:t>
      </w:r>
      <w:r w:rsidR="00B54B3B" w:rsidRPr="000E00D4">
        <w:t>3-5/э «О корректировке на 2018 год</w:t>
      </w:r>
      <w:r w:rsidR="00B54B3B">
        <w:t xml:space="preserve"> </w:t>
      </w:r>
      <w:r w:rsidR="00B54B3B" w:rsidRPr="000E00D4">
        <w:t>долгосрочных индивидуальных тарифов на услуги по передаче</w:t>
      </w:r>
      <w:r w:rsidR="00B54B3B">
        <w:t xml:space="preserve"> </w:t>
      </w:r>
      <w:r w:rsidR="00B54B3B" w:rsidRPr="000E00D4">
        <w:t>электрической энергии для взаиморасчетов между сетевыми</w:t>
      </w:r>
      <w:r w:rsidR="00B54B3B">
        <w:t xml:space="preserve"> </w:t>
      </w:r>
      <w:r w:rsidR="00B54B3B" w:rsidRPr="000E00D4">
        <w:t>организациями на территории Республики Татарстан, установленных</w:t>
      </w:r>
      <w:r w:rsidR="00B54B3B">
        <w:t xml:space="preserve"> </w:t>
      </w:r>
      <w:r w:rsidR="00B54B3B" w:rsidRPr="000E00D4">
        <w:t>постановлением Государственного комитета Республики Татарстан по</w:t>
      </w:r>
      <w:r w:rsidR="00B54B3B">
        <w:t xml:space="preserve"> </w:t>
      </w:r>
      <w:r w:rsidR="00B54B3B" w:rsidRPr="000E00D4">
        <w:t>тарифам от10.12.2014 № 3-11/э»</w:t>
      </w:r>
      <w:r w:rsidR="00CC2666">
        <w:rPr>
          <w:szCs w:val="28"/>
        </w:rPr>
        <w:t xml:space="preserve">, </w:t>
      </w:r>
      <w:r w:rsidRPr="008B17A6">
        <w:rPr>
          <w:szCs w:val="28"/>
        </w:rPr>
        <w:t>Государственный комитет Республики Татарстан по тарифам ПОСТАНОВЛЯЕТ:</w:t>
      </w:r>
    </w:p>
    <w:p w:rsidR="00F20586" w:rsidRPr="00F26058" w:rsidRDefault="00F20586" w:rsidP="00F2058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DD203D">
        <w:rPr>
          <w:szCs w:val="28"/>
        </w:rPr>
        <w:t>1. Внести в постановление Государственного комитета Республики Татарстан по тарифам от 17</w:t>
      </w:r>
      <w:r>
        <w:rPr>
          <w:szCs w:val="28"/>
        </w:rPr>
        <w:t>.12.</w:t>
      </w:r>
      <w:r w:rsidRPr="00DD203D">
        <w:rPr>
          <w:szCs w:val="28"/>
        </w:rPr>
        <w:t xml:space="preserve">2014 г.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 </w:t>
      </w:r>
      <w:r>
        <w:rPr>
          <w:szCs w:val="28"/>
        </w:rPr>
        <w:t xml:space="preserve">(с изменениями, внесенными постановлениями Государственного комитета Республики Татарстан по тарифам </w:t>
      </w:r>
      <w:r w:rsidRPr="004710DC">
        <w:rPr>
          <w:szCs w:val="28"/>
        </w:rPr>
        <w:br/>
      </w:r>
      <w:r>
        <w:rPr>
          <w:szCs w:val="28"/>
        </w:rPr>
        <w:t xml:space="preserve">от </w:t>
      </w:r>
      <w:r w:rsidRPr="00F26058">
        <w:rPr>
          <w:szCs w:val="28"/>
        </w:rPr>
        <w:t>31.03.2015 № 3-4/э, от 08.06.2015 № 3-9/э, от 30.12.2015 № 3-21/э, от 28.10.2016 №</w:t>
      </w:r>
      <w:r>
        <w:rPr>
          <w:szCs w:val="28"/>
          <w:lang w:val="en-US"/>
        </w:rPr>
        <w:t> </w:t>
      </w:r>
      <w:r w:rsidRPr="00F26058">
        <w:rPr>
          <w:szCs w:val="28"/>
        </w:rPr>
        <w:t>3-2/э, от 23.12.2016 № 3-15/э</w:t>
      </w:r>
      <w:r>
        <w:rPr>
          <w:szCs w:val="28"/>
        </w:rPr>
        <w:t>, от 28.12.2017 № 3-15/э</w:t>
      </w:r>
      <w:r w:rsidRPr="00F26058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</w:t>
      </w:r>
      <w:r w:rsidR="00305387">
        <w:rPr>
          <w:szCs w:val="28"/>
        </w:rPr>
        <w:t>ию к настоящему постановлению.</w:t>
      </w:r>
    </w:p>
    <w:p w:rsidR="00B962CE" w:rsidRDefault="00D4385D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</w:t>
      </w:r>
      <w:r w:rsidR="0051224F">
        <w:rPr>
          <w:szCs w:val="28"/>
        </w:rPr>
        <w:t>с 1 июля 2018 года.</w:t>
      </w:r>
    </w:p>
    <w:p w:rsidR="006247DB" w:rsidRPr="0098517D" w:rsidRDefault="006247DB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376B12" w:rsidP="00A51840">
      <w:pPr>
        <w:rPr>
          <w:szCs w:val="28"/>
        </w:rPr>
      </w:pPr>
      <w:r>
        <w:rPr>
          <w:szCs w:val="28"/>
        </w:rPr>
        <w:t>П</w:t>
      </w:r>
      <w:r w:rsidR="00A51840">
        <w:rPr>
          <w:szCs w:val="28"/>
        </w:rPr>
        <w:t>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</w:t>
      </w:r>
      <w:r w:rsidR="00046AF2" w:rsidRPr="00046AF2">
        <w:rPr>
          <w:szCs w:val="28"/>
        </w:rPr>
        <w:t xml:space="preserve">    </w:t>
      </w:r>
      <w:bookmarkStart w:id="1" w:name="_GoBack"/>
      <w:bookmarkEnd w:id="1"/>
      <w:r w:rsidR="00F61465">
        <w:rPr>
          <w:szCs w:val="28"/>
        </w:rPr>
        <w:t xml:space="preserve">  </w:t>
      </w:r>
      <w:r>
        <w:rPr>
          <w:szCs w:val="28"/>
        </w:rPr>
        <w:t xml:space="preserve">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7703B6">
          <w:pgSz w:w="11906" w:h="16838"/>
          <w:pgMar w:top="851" w:right="567" w:bottom="425" w:left="1134" w:header="709" w:footer="709" w:gutter="0"/>
          <w:cols w:space="708"/>
          <w:docGrid w:linePitch="381"/>
        </w:sect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05387" w:rsidRPr="00AA468A" w:rsidRDefault="00305387" w:rsidP="00305387">
      <w:pPr>
        <w:autoSpaceDE w:val="0"/>
        <w:autoSpaceDN w:val="0"/>
        <w:adjustRightInd w:val="0"/>
        <w:ind w:left="10773"/>
        <w:rPr>
          <w:sz w:val="24"/>
        </w:rPr>
      </w:pPr>
      <w:r w:rsidRPr="00AA468A">
        <w:rPr>
          <w:sz w:val="24"/>
        </w:rPr>
        <w:t>Приложение к постановлению</w:t>
      </w:r>
    </w:p>
    <w:p w:rsidR="00305387" w:rsidRPr="00AA468A" w:rsidRDefault="00305387" w:rsidP="00305387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Государственного комитета</w:t>
      </w:r>
    </w:p>
    <w:p w:rsidR="00305387" w:rsidRPr="00AA468A" w:rsidRDefault="00305387" w:rsidP="00305387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Республики Татарстан по тарифам</w:t>
      </w:r>
    </w:p>
    <w:p w:rsidR="00305387" w:rsidRPr="00AA468A" w:rsidRDefault="00305387" w:rsidP="00305387">
      <w:pPr>
        <w:ind w:left="10773"/>
        <w:rPr>
          <w:sz w:val="24"/>
        </w:rPr>
      </w:pPr>
      <w:r w:rsidRPr="00AA468A">
        <w:rPr>
          <w:sz w:val="24"/>
        </w:rPr>
        <w:t xml:space="preserve">от </w:t>
      </w:r>
      <w:r w:rsidRPr="009029D2">
        <w:rPr>
          <w:sz w:val="24"/>
        </w:rPr>
        <w:t>___________</w:t>
      </w:r>
      <w:r w:rsidRPr="00AA468A">
        <w:rPr>
          <w:sz w:val="24"/>
        </w:rPr>
        <w:t xml:space="preserve"> № </w:t>
      </w:r>
      <w:r>
        <w:rPr>
          <w:sz w:val="24"/>
          <w:u w:val="single"/>
        </w:rPr>
        <w:t>3</w:t>
      </w:r>
      <w:r w:rsidRPr="00AA468A">
        <w:rPr>
          <w:sz w:val="24"/>
          <w:u w:val="single"/>
        </w:rPr>
        <w:t>-</w:t>
      </w:r>
      <w:r w:rsidRPr="009029D2">
        <w:rPr>
          <w:sz w:val="24"/>
        </w:rPr>
        <w:t>____</w:t>
      </w:r>
      <w:r w:rsidRPr="00AA468A">
        <w:rPr>
          <w:sz w:val="24"/>
          <w:u w:val="single"/>
        </w:rPr>
        <w:t>/</w:t>
      </w:r>
      <w:r>
        <w:rPr>
          <w:sz w:val="24"/>
          <w:u w:val="single"/>
        </w:rPr>
        <w:t>э</w:t>
      </w:r>
    </w:p>
    <w:p w:rsidR="00305387" w:rsidRPr="00F26058" w:rsidRDefault="00305387" w:rsidP="0030538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t xml:space="preserve">«Приложение 1 к постановлению </w:t>
      </w:r>
    </w:p>
    <w:p w:rsidR="00305387" w:rsidRPr="00F26058" w:rsidRDefault="00305387" w:rsidP="0030538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t xml:space="preserve">Государственного комитета </w:t>
      </w:r>
    </w:p>
    <w:p w:rsidR="00305387" w:rsidRPr="00F26058" w:rsidRDefault="00305387" w:rsidP="0030538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t xml:space="preserve">Республики Татарстан по тарифам </w:t>
      </w:r>
    </w:p>
    <w:p w:rsidR="00305387" w:rsidRPr="00F26058" w:rsidRDefault="00305387" w:rsidP="0030538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Cs w:val="28"/>
        </w:rPr>
      </w:pPr>
      <w:r w:rsidRPr="00F26058">
        <w:rPr>
          <w:sz w:val="24"/>
          <w:szCs w:val="24"/>
        </w:rPr>
        <w:t xml:space="preserve">от </w:t>
      </w:r>
      <w:r w:rsidRPr="00F26058">
        <w:rPr>
          <w:sz w:val="24"/>
          <w:szCs w:val="24"/>
          <w:u w:val="single"/>
        </w:rPr>
        <w:t>17.12.2014</w:t>
      </w:r>
      <w:r w:rsidRPr="00F26058">
        <w:rPr>
          <w:sz w:val="24"/>
          <w:szCs w:val="24"/>
        </w:rPr>
        <w:t xml:space="preserve"> № </w:t>
      </w:r>
      <w:r w:rsidRPr="00F26058">
        <w:rPr>
          <w:sz w:val="24"/>
          <w:szCs w:val="24"/>
          <w:u w:val="single"/>
        </w:rPr>
        <w:t>3-18/э</w:t>
      </w:r>
    </w:p>
    <w:p w:rsidR="00305387" w:rsidRPr="003D3662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Единые (котловые) тарифы</w:t>
      </w:r>
      <w:r w:rsidRPr="00212A89">
        <w:rPr>
          <w:szCs w:val="28"/>
        </w:rPr>
        <w:t xml:space="preserve"> </w:t>
      </w:r>
      <w:r w:rsidRPr="00F26058">
        <w:rPr>
          <w:szCs w:val="28"/>
        </w:rPr>
        <w:t>на услуги по передаче электрической энергии по сетям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сетевых организаций на территории Республики Татарстан, поставляемой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прочим потребителям с 1 января 2015 года по 31 декабря 2019 года с календарной разбивкой 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414"/>
        <w:gridCol w:w="1763"/>
        <w:gridCol w:w="996"/>
        <w:gridCol w:w="1511"/>
        <w:gridCol w:w="1511"/>
        <w:gridCol w:w="1476"/>
        <w:gridCol w:w="1597"/>
        <w:gridCol w:w="1737"/>
      </w:tblGrid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HH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gridSpan w:val="3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 полугодие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6" w:type="pct"/>
            <w:gridSpan w:val="8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290 423,71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440 450,57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854 100,16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1 355 789,93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354 911,66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530 969,61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1 037 695,36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1 590 107,41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365 803,92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532 538,43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1 095 291,67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1 629 989,67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385 966,61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578 212,63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1 124 768,38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1 723 040,62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408 888,89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611 722,86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1 195 514,69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1 831 941,08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131,71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215,44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135,83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364,76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144,98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211,22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419,37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104,40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151,56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219,79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437,95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107,37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156,49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224,94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443,82</w:t>
            </w:r>
          </w:p>
        </w:tc>
      </w:tr>
      <w:tr w:rsidR="00305387" w:rsidRPr="00F26058" w:rsidTr="00305387">
        <w:trPr>
          <w:trHeight w:val="330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0,56550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0,96242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2,33491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2,69362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0,60791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1,03460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2,51003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2,89611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0,63710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1,05820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2,53394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3,01097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0,65115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1,08211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2,58938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3,08253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0,70036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1,19195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2,89177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3,33657</w:t>
            </w:r>
          </w:p>
        </w:tc>
      </w:tr>
      <w:tr w:rsidR="00305387" w:rsidRPr="00F26058" w:rsidTr="00305387">
        <w:trPr>
          <w:trHeight w:val="1260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2E4B4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2E4B4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8A590B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 242 554,66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1 783 305,74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296 069,62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884 312,60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278 866,70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2E4B4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2E4B4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187 889,51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142 419,19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198 154,90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353 053,59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378 196,23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gridSpan w:val="3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6" w:type="pct"/>
            <w:gridSpan w:val="8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354 911,66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530 969,61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1 037 695,36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1 590 107,41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  <w:lang w:val="en-US"/>
              </w:rPr>
              <w:t>366 627</w:t>
            </w:r>
            <w:r w:rsidRPr="00F26058">
              <w:rPr>
                <w:color w:val="000000"/>
                <w:sz w:val="24"/>
                <w:szCs w:val="24"/>
              </w:rPr>
              <w:t>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533 150,62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1 095 852,40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1 630 603,26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385 966,61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578 212,63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1 124 768,38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1 723 040,62</w:t>
            </w:r>
          </w:p>
        </w:tc>
      </w:tr>
      <w:tr w:rsidR="00305387" w:rsidRPr="00F26058" w:rsidTr="00305387">
        <w:trPr>
          <w:trHeight w:val="330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394 319,52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592 413,17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1 148 072,01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1 766 279,72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427 288,89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639 250,39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1 249 312,85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1 914 378,43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135,83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364,76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144,98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211,22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419,37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104,40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151,56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219,79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437,95</w:t>
            </w:r>
          </w:p>
        </w:tc>
      </w:tr>
      <w:tr w:rsidR="00305387" w:rsidRPr="00F26058" w:rsidTr="00305387">
        <w:trPr>
          <w:trHeight w:val="330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111,75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163,50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237,50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474,29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163,53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235,06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463,79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0,60791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1,0346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2,51003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2,89611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0,63831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1,05925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2,53513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3,01195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0,65115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1,08211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2,58938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3,08253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0,6</w:t>
            </w:r>
            <w:r>
              <w:rPr>
                <w:color w:val="000000"/>
                <w:sz w:val="24"/>
                <w:szCs w:val="24"/>
                <w:highlight w:val="yellow"/>
              </w:rPr>
              <w:t>6757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1,11</w:t>
            </w:r>
            <w:r>
              <w:rPr>
                <w:color w:val="000000"/>
                <w:sz w:val="24"/>
                <w:szCs w:val="24"/>
                <w:highlight w:val="yellow"/>
              </w:rPr>
              <w:t>122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2,5</w:t>
            </w:r>
            <w:r>
              <w:rPr>
                <w:color w:val="000000"/>
                <w:sz w:val="24"/>
                <w:szCs w:val="24"/>
                <w:highlight w:val="yellow"/>
              </w:rPr>
              <w:t>7380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3,0</w:t>
            </w:r>
            <w:r>
              <w:rPr>
                <w:color w:val="000000"/>
                <w:sz w:val="24"/>
                <w:szCs w:val="24"/>
                <w:highlight w:val="yellow"/>
              </w:rPr>
              <w:t>8088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0,73188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1,24559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3,0219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3,48671</w:t>
            </w:r>
          </w:p>
        </w:tc>
      </w:tr>
      <w:tr w:rsidR="00305387" w:rsidRPr="00F26058" w:rsidTr="00305387">
        <w:trPr>
          <w:trHeight w:val="1260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2E4B4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2E4B4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2 991 812,85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1 390 724,41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63 893,30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1 414 432,48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122 762,67</w:t>
            </w:r>
          </w:p>
        </w:tc>
      </w:tr>
      <w:tr w:rsidR="00305387" w:rsidRPr="00F26058" w:rsidTr="00305387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387" w:rsidRPr="002E4B4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2E4B4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166 446,37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110 620,23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37 752,25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476 151,14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05387" w:rsidRPr="00305387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387">
              <w:rPr>
                <w:color w:val="000000"/>
                <w:sz w:val="24"/>
                <w:szCs w:val="24"/>
                <w:highlight w:val="yellow"/>
              </w:rPr>
              <w:t>165 988,93</w:t>
            </w:r>
          </w:p>
        </w:tc>
      </w:tr>
    </w:tbl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both"/>
        <w:rPr>
          <w:szCs w:val="28"/>
          <w:lang w:val="en-US"/>
        </w:rPr>
        <w:sectPr w:rsidR="00305387" w:rsidRPr="00F26058" w:rsidSect="00305387">
          <w:pgSz w:w="16838" w:h="11906" w:orient="landscape"/>
          <w:pgMar w:top="709" w:right="1103" w:bottom="567" w:left="1134" w:header="709" w:footer="709" w:gutter="0"/>
          <w:cols w:space="708"/>
          <w:docGrid w:linePitch="360"/>
        </w:sect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ind w:left="5954"/>
        <w:jc w:val="right"/>
        <w:rPr>
          <w:sz w:val="24"/>
          <w:szCs w:val="28"/>
        </w:rPr>
      </w:pPr>
      <w:r w:rsidRPr="00F26058">
        <w:rPr>
          <w:sz w:val="24"/>
          <w:szCs w:val="28"/>
        </w:rPr>
        <w:lastRenderedPageBreak/>
        <w:t>Таблица 1</w:t>
      </w:r>
    </w:p>
    <w:p w:rsidR="00305387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Размер экономически обоснованных единых (котловых)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тарифов на услуги по передаче электрической энергии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сетевых организаций на территории Республики Татарстан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с 1 января 2015 года по 31 декабря 2019 года с календарной разбивкой 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075"/>
        <w:gridCol w:w="1521"/>
        <w:gridCol w:w="688"/>
        <w:gridCol w:w="1116"/>
        <w:gridCol w:w="1117"/>
        <w:gridCol w:w="1243"/>
        <w:gridCol w:w="1266"/>
      </w:tblGrid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№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п/п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Год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Диапазоны напряжения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vMerge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BH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CH-I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CH-II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HH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  <w:u w:val="single"/>
              </w:rPr>
            </w:pPr>
            <w:r w:rsidRPr="00624A3D">
              <w:rPr>
                <w:sz w:val="20"/>
              </w:rP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both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полугодие</w:t>
            </w:r>
            <w:r w:rsidRPr="00624A3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Двухставочный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тариф: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1.1.1.1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за содержание электрических сетей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МВт·мес</w:t>
            </w:r>
            <w:proofErr w:type="spellEnd"/>
            <w:r w:rsidRPr="00624A3D">
              <w:rPr>
                <w:color w:val="000000"/>
                <w:sz w:val="20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79 067,77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555 271,84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813 773,95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1 062 436,84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184 888,15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ind w:left="-131" w:right="-102"/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 </w:t>
            </w:r>
            <w:r w:rsidRPr="00624A3D">
              <w:rPr>
                <w:color w:val="000000"/>
                <w:sz w:val="20"/>
              </w:rPr>
              <w:t>204361,12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651 551,25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958 403,13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161 576,20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513 381,16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977 963,93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1 481 054,73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243 547,42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380 057,73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771 714,79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1 344 844,39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108 566,94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762 436,12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ind w:left="-114" w:right="-134"/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1 117 383,19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1 458 820,41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МВт·ч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106,21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149,68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229,72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363,37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93,20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135,83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195,25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364,76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99,52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211,22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419,37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104,40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151,56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219,79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437,95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145,85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205,54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315,43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498,95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Одноставочный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кВт·ч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0,28276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0,93166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2,03255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2,70782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0,51943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2,07799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1,51942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2,34242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0,43490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1,05417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2,25895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2,98581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0,67280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0,60167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1,68224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2,49444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0,38830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1,27925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2,79088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3,71808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both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2 полугодие 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Двухставочный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1.2.1.1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за содержание электрических сетей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МВт·мес</w:t>
            </w:r>
            <w:proofErr w:type="spellEnd"/>
            <w:r w:rsidRPr="00624A3D">
              <w:rPr>
                <w:color w:val="000000"/>
                <w:sz w:val="20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91 361,13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495 293,25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789 032,16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1 028 831,23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136 462,05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918 224,06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538 442,17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1 099 036,82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179 732,46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473 424,98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963 559,39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1 503 196,08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283 699,29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554 660,92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671 920,87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1 600 290,79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125 446,70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680 080,27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ind w:left="-114" w:right="-134"/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1 083 409,08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1 412 673,84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1.2.1.2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 xml:space="preserve">- ставка на оплату технологического расхода (потерь) в </w:t>
            </w:r>
            <w:r w:rsidRPr="00624A3D">
              <w:rPr>
                <w:color w:val="000000"/>
                <w:sz w:val="20"/>
              </w:rPr>
              <w:lastRenderedPageBreak/>
              <w:t>электрических сетях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МВт·ч</w:t>
            </w:r>
            <w:proofErr w:type="spellEnd"/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93,2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135,83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195,25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385,23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99,52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211,22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419,37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104,40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151,56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219,79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437,95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111,75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163,50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237,50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305387" w:rsidRDefault="00305387" w:rsidP="0030538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474,29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127,97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186,51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268,10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528,95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Одноставочный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кВт·ч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0,30117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0,97347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1,98168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2,64721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0,41196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1,71820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1,37512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2,79837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0,49708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0,91352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2,20220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2,93689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305387" w:rsidRDefault="00305387" w:rsidP="003E3412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05387">
              <w:rPr>
                <w:color w:val="000000"/>
                <w:sz w:val="20"/>
                <w:highlight w:val="yellow"/>
              </w:rPr>
              <w:t>0,6</w:t>
            </w:r>
            <w:r w:rsidR="003E3412">
              <w:rPr>
                <w:color w:val="000000"/>
                <w:sz w:val="20"/>
                <w:highlight w:val="yellow"/>
              </w:rPr>
              <w:t>5570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305387" w:rsidRDefault="00305387" w:rsidP="003E3412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05387">
              <w:rPr>
                <w:color w:val="000000"/>
                <w:sz w:val="20"/>
                <w:highlight w:val="yellow"/>
              </w:rPr>
              <w:t>1,05</w:t>
            </w:r>
            <w:r w:rsidR="003E3412">
              <w:rPr>
                <w:color w:val="000000"/>
                <w:sz w:val="20"/>
                <w:highlight w:val="yellow"/>
              </w:rPr>
              <w:t>180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305387" w:rsidRDefault="00305387" w:rsidP="003E3412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05387">
              <w:rPr>
                <w:color w:val="000000"/>
                <w:sz w:val="20"/>
                <w:highlight w:val="yellow"/>
              </w:rPr>
              <w:t>1,5</w:t>
            </w:r>
            <w:r w:rsidR="003E3412">
              <w:rPr>
                <w:color w:val="000000"/>
                <w:sz w:val="20"/>
                <w:highlight w:val="yellow"/>
              </w:rPr>
              <w:t>8529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305387" w:rsidRDefault="00305387" w:rsidP="003E3412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05387">
              <w:rPr>
                <w:color w:val="000000"/>
                <w:sz w:val="20"/>
                <w:highlight w:val="yellow"/>
              </w:rPr>
              <w:t>3,1</w:t>
            </w:r>
            <w:r w:rsidR="003E3412">
              <w:rPr>
                <w:color w:val="000000"/>
                <w:sz w:val="20"/>
                <w:highlight w:val="yellow"/>
              </w:rPr>
              <w:t>4540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0,38290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1,23765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2,51946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3,36560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№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п/п</w:t>
            </w:r>
          </w:p>
        </w:tc>
        <w:tc>
          <w:tcPr>
            <w:tcW w:w="1825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Республике Татарстан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Год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Республике Татарстан 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 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тыс. руб.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тыс. руб.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Открытое акционерное общество «Сетевая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17 738 509,09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657 741,39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19 781 023,67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1 159 977,01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 w:themeColor="text1"/>
                <w:sz w:val="20"/>
              </w:rPr>
              <w:t>20 652 971,64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464 827,11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21 782 658,82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960 940,03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22 511 118,05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Публичное акционерное общество «Татнефть» имени </w:t>
            </w:r>
            <w:proofErr w:type="spellStart"/>
            <w:r w:rsidRPr="00624A3D">
              <w:rPr>
                <w:color w:val="000000"/>
                <w:sz w:val="20"/>
              </w:rPr>
              <w:t>В.Д.Шашина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174 343,61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187 774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195 646,94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337 004,81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193 685,82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624A3D">
              <w:rPr>
                <w:color w:val="000000"/>
                <w:sz w:val="20"/>
              </w:rPr>
              <w:t>Трансэнерго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филиала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ОАО «РЖД»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6 618,08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7 105,</w:t>
            </w:r>
            <w:r w:rsidRPr="00624A3D">
              <w:rPr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7 303,20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7 419,74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7 117,79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«Электро-</w:t>
            </w:r>
            <w:proofErr w:type="spellStart"/>
            <w:r w:rsidRPr="00624A3D">
              <w:rPr>
                <w:color w:val="000000"/>
                <w:sz w:val="20"/>
              </w:rPr>
              <w:t>Энергосервис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3 185,94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 xml:space="preserve">3 </w:t>
            </w:r>
            <w:r w:rsidRPr="00624A3D">
              <w:rPr>
                <w:color w:val="000000"/>
                <w:sz w:val="20"/>
                <w:lang w:val="en-US"/>
              </w:rPr>
              <w:t>722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4 202,50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5 564,71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3 530,67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ЕлАЗ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7 954,94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8 </w:t>
            </w:r>
            <w:r w:rsidRPr="00624A3D">
              <w:rPr>
                <w:color w:val="000000"/>
                <w:sz w:val="20"/>
                <w:lang w:val="en-US"/>
              </w:rPr>
              <w:t>121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3</w:t>
            </w:r>
            <w:r w:rsidRPr="00624A3D">
              <w:rPr>
                <w:color w:val="000000"/>
                <w:sz w:val="20"/>
              </w:rPr>
              <w:t>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8 216,96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8 453,91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8 974,71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«СМП-</w:t>
            </w:r>
            <w:proofErr w:type="spellStart"/>
            <w:r w:rsidRPr="00624A3D">
              <w:rPr>
                <w:color w:val="000000"/>
                <w:sz w:val="20"/>
              </w:rPr>
              <w:t>Нефтегаз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1 084,10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</w:t>
            </w:r>
            <w:r w:rsidRPr="00624A3D">
              <w:rPr>
                <w:color w:val="000000"/>
                <w:sz w:val="20"/>
              </w:rPr>
              <w:t> </w:t>
            </w:r>
            <w:r w:rsidRPr="00624A3D">
              <w:rPr>
                <w:color w:val="000000"/>
                <w:sz w:val="20"/>
                <w:lang w:val="en-US"/>
              </w:rPr>
              <w:t>240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1</w:t>
            </w:r>
            <w:r w:rsidRPr="00624A3D">
              <w:rPr>
                <w:color w:val="000000"/>
                <w:sz w:val="20"/>
              </w:rPr>
              <w:t>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2 196,70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2 266,71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1 192,23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«ЧЕЛНЫВОДОКАНАЛ»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974,25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994,84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1 046,42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1 051,54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1 075,06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</w:t>
            </w:r>
          </w:p>
        </w:tc>
        <w:tc>
          <w:tcPr>
            <w:tcW w:w="1825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</w:t>
            </w:r>
            <w:proofErr w:type="spellStart"/>
            <w:r w:rsidRPr="00624A3D">
              <w:rPr>
                <w:color w:val="000000"/>
                <w:sz w:val="20"/>
              </w:rPr>
              <w:t>Экострой</w:t>
            </w:r>
            <w:proofErr w:type="spellEnd"/>
            <w:r w:rsidRPr="00624A3D">
              <w:rPr>
                <w:color w:val="000000"/>
                <w:sz w:val="20"/>
              </w:rPr>
              <w:t xml:space="preserve"> Инжиниринг»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10 378,82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</w:t>
            </w:r>
            <w:proofErr w:type="spellStart"/>
            <w:r w:rsidRPr="00624A3D">
              <w:rPr>
                <w:color w:val="000000"/>
                <w:sz w:val="20"/>
              </w:rPr>
              <w:t>ТранзитЭнергоМонтаж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5 170,07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</w:t>
            </w:r>
            <w:r w:rsidRPr="00624A3D">
              <w:rPr>
                <w:color w:val="000000"/>
                <w:sz w:val="20"/>
                <w:lang w:val="en-US"/>
              </w:rPr>
              <w:t>384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14 363,17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26 142,76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5 529,57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Филиал «Волго-Вятский» 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Оборонэнерго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22 305,28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23 365,22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24 172,45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23 293,74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24 329,36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«Предприятие электрических сетей»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107 488,00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114 020,04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120 245,11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87 727,90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118 935,68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 «ОЭЗ ППТ «</w:t>
            </w:r>
            <w:proofErr w:type="spellStart"/>
            <w:r w:rsidRPr="00624A3D">
              <w:rPr>
                <w:color w:val="000000"/>
                <w:sz w:val="20"/>
              </w:rPr>
              <w:t>Алабуга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229 244,90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282 847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288 111,83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284 622,53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234 619,13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624A3D">
              <w:rPr>
                <w:color w:val="000000"/>
                <w:sz w:val="20"/>
              </w:rPr>
              <w:t>Трансэнерго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филиала 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ОАО «РЖД»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31 236,67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33 020,04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33 066,61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33 902,64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33 778,66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7 620,73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23 148,68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31 963,79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42 606</w:t>
            </w:r>
            <w:r w:rsidRPr="00624A3D">
              <w:rPr>
                <w:color w:val="000000"/>
                <w:sz w:val="20"/>
              </w:rPr>
              <w:t>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8 442,79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«Международный аэропорт «Казань»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1 269,9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</w:t>
            </w:r>
            <w:r w:rsidRPr="00624A3D">
              <w:rPr>
                <w:color w:val="000000"/>
                <w:sz w:val="20"/>
                <w:lang w:val="en-US"/>
              </w:rPr>
              <w:t>334</w:t>
            </w:r>
            <w:r w:rsidRPr="00624A3D">
              <w:rPr>
                <w:color w:val="000000"/>
                <w:sz w:val="20"/>
              </w:rPr>
              <w:t>,5</w:t>
            </w:r>
            <w:r w:rsidRPr="00624A3D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1 379,62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1 144,93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1 395,79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Казанский авиационный завод им. </w:t>
            </w:r>
            <w:proofErr w:type="spellStart"/>
            <w:r w:rsidRPr="00624A3D">
              <w:rPr>
                <w:color w:val="000000"/>
                <w:sz w:val="20"/>
              </w:rPr>
              <w:t>С.П.Горбунова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</w:t>
            </w:r>
          </w:p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публичного акционерного общества «Туполев»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11 059,78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  <w:r w:rsidRPr="00624A3D">
              <w:rPr>
                <w:color w:val="000000"/>
                <w:sz w:val="20"/>
                <w:lang w:val="en-US"/>
              </w:rPr>
              <w:t>2</w:t>
            </w:r>
            <w:r w:rsidRPr="00624A3D">
              <w:rPr>
                <w:color w:val="000000"/>
                <w:sz w:val="20"/>
              </w:rPr>
              <w:t> </w:t>
            </w:r>
            <w:r w:rsidRPr="00624A3D">
              <w:rPr>
                <w:color w:val="000000"/>
                <w:sz w:val="20"/>
                <w:lang w:val="en-US"/>
              </w:rPr>
              <w:t>219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12 897,49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12 659,59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12 804,23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ЗАО «Электросетевая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</w:t>
            </w:r>
            <w:r w:rsidRPr="00624A3D">
              <w:rPr>
                <w:color w:val="000000"/>
                <w:sz w:val="20"/>
              </w:rPr>
              <w:t>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12 980,89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13 308,39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13 552,87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2021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13 804,59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2022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14 283,98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18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«Казанское моторостроительное производственное объединение»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1 227,68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1 276,91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622,75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455,692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1 338,14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«Химический завод им. Л.Я. Карпова»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7 093,32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7 494,87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7 408,62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7 425,13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7 842,90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Публичное акционерное общество «Нижнекамскнефтехим»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75 803,76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29 360,51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34 419,51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31 410,23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79 262,75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«ТСО «</w:t>
            </w:r>
            <w:proofErr w:type="spellStart"/>
            <w:r w:rsidRPr="00624A3D">
              <w:rPr>
                <w:color w:val="000000"/>
                <w:sz w:val="20"/>
              </w:rPr>
              <w:t>Энергосервис</w:t>
            </w:r>
            <w:proofErr w:type="spellEnd"/>
            <w:r w:rsidRPr="00624A3D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49 230,66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49 595,21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51 354,60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«Смежная сетевая компания «Интеграция»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</w:t>
            </w:r>
            <w:r w:rsidRPr="00624A3D">
              <w:rPr>
                <w:color w:val="000000"/>
                <w:sz w:val="20"/>
              </w:rPr>
              <w:t>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71 890,36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72</w:t>
            </w:r>
            <w:r w:rsidRPr="00624A3D">
              <w:rPr>
                <w:color w:val="000000"/>
                <w:sz w:val="20"/>
                <w:lang w:val="en-US"/>
              </w:rPr>
              <w:t xml:space="preserve"> </w:t>
            </w:r>
            <w:r w:rsidRPr="00624A3D">
              <w:rPr>
                <w:color w:val="000000"/>
                <w:sz w:val="20"/>
              </w:rPr>
              <w:t>953,65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74</w:t>
            </w:r>
            <w:r w:rsidRPr="00624A3D">
              <w:rPr>
                <w:color w:val="000000"/>
                <w:sz w:val="20"/>
                <w:lang w:val="en-US"/>
              </w:rPr>
              <w:t xml:space="preserve"> </w:t>
            </w:r>
            <w:r w:rsidRPr="00624A3D">
              <w:rPr>
                <w:color w:val="000000"/>
                <w:sz w:val="20"/>
              </w:rPr>
              <w:t>444,92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«Завод «</w:t>
            </w:r>
            <w:proofErr w:type="spellStart"/>
            <w:r w:rsidRPr="00624A3D">
              <w:rPr>
                <w:color w:val="000000"/>
                <w:sz w:val="20"/>
              </w:rPr>
              <w:t>Элекон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730,51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778,80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804,41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791,71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817,32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Татнефтепром-Зюзеевнефть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6 995,87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7 204,51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7 467,69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7 648,98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7 811,61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«Предприятие электрических сетей – НК»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62 769,29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66 778,56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78 720,82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83 708,71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70 822,80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ФКП «Казанский государственный казенный пороховой завод»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1 461,86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</w:t>
            </w:r>
            <w:r w:rsidRPr="00624A3D">
              <w:rPr>
                <w:color w:val="000000"/>
                <w:sz w:val="20"/>
                <w:lang w:val="en-US"/>
              </w:rPr>
              <w:t>573</w:t>
            </w:r>
            <w:r w:rsidRPr="00624A3D">
              <w:rPr>
                <w:color w:val="000000"/>
                <w:sz w:val="20"/>
              </w:rPr>
              <w:t>,7</w:t>
            </w:r>
            <w:r w:rsidRPr="00624A3D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1 624,62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1 455,86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1 600,87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«КАМАЗ-</w:t>
            </w:r>
            <w:proofErr w:type="spellStart"/>
            <w:r w:rsidRPr="00624A3D">
              <w:rPr>
                <w:color w:val="000000"/>
                <w:sz w:val="20"/>
              </w:rPr>
              <w:t>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138 054,79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143 848,48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148 432,56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E3412" w:rsidP="00305387">
            <w:pPr>
              <w:jc w:val="center"/>
              <w:rPr>
                <w:color w:val="000000"/>
                <w:sz w:val="20"/>
              </w:rPr>
            </w:pPr>
            <w:r w:rsidRPr="003E3412">
              <w:rPr>
                <w:color w:val="000000"/>
                <w:sz w:val="20"/>
                <w:highlight w:val="yellow"/>
              </w:rPr>
              <w:t>106 474,54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198 936,02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ГУП РТ "Электрические сети"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258 011,64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261 972,94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266 053,09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29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624A3D">
              <w:rPr>
                <w:color w:val="000000"/>
                <w:sz w:val="20"/>
              </w:rPr>
              <w:t>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  <w:lang w:val="en-US"/>
              </w:rPr>
              <w:t>67</w:t>
            </w:r>
            <w:r w:rsidRPr="00624A3D">
              <w:rPr>
                <w:rFonts w:eastAsia="Calibri"/>
                <w:color w:val="000000"/>
                <w:sz w:val="20"/>
              </w:rPr>
              <w:t xml:space="preserve"> 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347</w:t>
            </w:r>
            <w:r w:rsidRPr="00624A3D">
              <w:rPr>
                <w:rFonts w:eastAsia="Calibri"/>
                <w:color w:val="000000"/>
                <w:sz w:val="20"/>
              </w:rPr>
              <w:t>,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</w:rPr>
              <w:t>65 650,38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  <w:lang w:val="en-US"/>
              </w:rPr>
              <w:t>68 805,42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  <w:lang w:val="en-US"/>
              </w:rPr>
              <w:t>71</w:t>
            </w:r>
            <w:r w:rsidRPr="00624A3D">
              <w:rPr>
                <w:rFonts w:eastAsia="Calibri"/>
                <w:sz w:val="20"/>
              </w:rPr>
              <w:t xml:space="preserve"> </w:t>
            </w:r>
            <w:r w:rsidRPr="00624A3D">
              <w:rPr>
                <w:rFonts w:eastAsia="Calibri"/>
                <w:sz w:val="20"/>
                <w:lang w:val="en-US"/>
              </w:rPr>
              <w:t>178</w:t>
            </w:r>
            <w:r w:rsidRPr="00624A3D">
              <w:rPr>
                <w:rFonts w:eastAsia="Calibri"/>
                <w:sz w:val="20"/>
              </w:rPr>
              <w:t>,</w:t>
            </w:r>
            <w:r w:rsidRPr="00624A3D">
              <w:rPr>
                <w:rFonts w:eastAsia="Calibri"/>
                <w:sz w:val="20"/>
                <w:lang w:val="en-US"/>
              </w:rPr>
              <w:t>11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  <w:lang w:val="en-US"/>
              </w:rPr>
              <w:t>72</w:t>
            </w:r>
            <w:r w:rsidRPr="00624A3D">
              <w:rPr>
                <w:rFonts w:eastAsia="Calibri"/>
                <w:sz w:val="20"/>
              </w:rPr>
              <w:t xml:space="preserve"> </w:t>
            </w:r>
            <w:r w:rsidRPr="00624A3D">
              <w:rPr>
                <w:rFonts w:eastAsia="Calibri"/>
                <w:sz w:val="20"/>
                <w:lang w:val="en-US"/>
              </w:rPr>
              <w:t>542</w:t>
            </w:r>
            <w:r w:rsidRPr="00624A3D">
              <w:rPr>
                <w:rFonts w:eastAsia="Calibri"/>
                <w:sz w:val="20"/>
              </w:rPr>
              <w:t>,</w:t>
            </w:r>
            <w:r w:rsidRPr="00624A3D">
              <w:rPr>
                <w:rFonts w:eastAsia="Calibri"/>
                <w:sz w:val="20"/>
                <w:lang w:val="en-US"/>
              </w:rPr>
              <w:t>2</w:t>
            </w:r>
            <w:r w:rsidRPr="00624A3D">
              <w:rPr>
                <w:rFonts w:eastAsia="Calibri"/>
                <w:sz w:val="20"/>
              </w:rPr>
              <w:t>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30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Публичное 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Нижнекамскшина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889,26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936,69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973,44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956,99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1 037,35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</w:t>
            </w:r>
            <w:proofErr w:type="spellStart"/>
            <w:r w:rsidRPr="00624A3D">
              <w:rPr>
                <w:color w:val="000000"/>
                <w:sz w:val="20"/>
              </w:rPr>
              <w:t>Энерготранзит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12 937,86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sz w:val="20"/>
              </w:rPr>
              <w:t>22 756,59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sz w:val="20"/>
              </w:rPr>
              <w:t>36 157,12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305387" w:rsidRPr="00624A3D" w:rsidTr="00305387">
        <w:trPr>
          <w:trHeight w:val="340"/>
        </w:trPr>
        <w:tc>
          <w:tcPr>
            <w:tcW w:w="420" w:type="pct"/>
            <w:vMerge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</w:tcPr>
          <w:p w:rsidR="00305387" w:rsidRPr="00624A3D" w:rsidRDefault="00305387" w:rsidP="00305387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sz w:val="20"/>
              </w:rPr>
            </w:pPr>
            <w:r w:rsidRPr="00624A3D">
              <w:rPr>
                <w:sz w:val="20"/>
              </w:rPr>
              <w:t>51 385,39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305387" w:rsidRPr="00624A3D" w:rsidRDefault="00305387" w:rsidP="0030538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05387" w:rsidRPr="00F26058" w:rsidRDefault="00305387" w:rsidP="0030538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rPr>
          <w:color w:val="FF0000"/>
          <w:szCs w:val="28"/>
        </w:rPr>
        <w:sectPr w:rsidR="00305387" w:rsidRPr="00F26058" w:rsidSect="00305387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8"/>
        </w:rPr>
      </w:pPr>
      <w:r w:rsidRPr="00F26058">
        <w:rPr>
          <w:sz w:val="24"/>
          <w:szCs w:val="28"/>
        </w:rPr>
        <w:lastRenderedPageBreak/>
        <w:t>Таблица 2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Показатели для целей расчета единых (котловых) тарифов</w:t>
      </w:r>
      <w:r>
        <w:rPr>
          <w:szCs w:val="28"/>
        </w:rPr>
        <w:br/>
      </w:r>
      <w:r w:rsidRPr="00F26058">
        <w:rPr>
          <w:szCs w:val="28"/>
        </w:rPr>
        <w:t>на услуги по передаче электрической энергии</w:t>
      </w:r>
      <w:r>
        <w:rPr>
          <w:szCs w:val="28"/>
        </w:rPr>
        <w:t xml:space="preserve"> по сетям </w:t>
      </w:r>
      <w:r w:rsidRPr="00F26058">
        <w:rPr>
          <w:szCs w:val="28"/>
        </w:rPr>
        <w:t xml:space="preserve">сетевых организаций на территории Республики Татарстан 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с 1 января 2018 года по 31 декабря 2018 года с календарной разбивкой 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923"/>
        <w:gridCol w:w="1459"/>
        <w:gridCol w:w="1056"/>
        <w:gridCol w:w="1066"/>
        <w:gridCol w:w="1056"/>
        <w:gridCol w:w="1056"/>
        <w:gridCol w:w="1069"/>
        <w:gridCol w:w="1069"/>
        <w:gridCol w:w="1056"/>
        <w:gridCol w:w="1056"/>
      </w:tblGrid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№</w:t>
            </w:r>
            <w:r w:rsidRPr="00601BF6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Диапазоны напряжения 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Диапазоны напряжения 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HH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HH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на территории Республики Татарстан: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3E3412">
              <w:rPr>
                <w:color w:val="000000"/>
                <w:sz w:val="24"/>
                <w:szCs w:val="24"/>
              </w:rPr>
              <w:t>7 109,09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3E3412">
              <w:rPr>
                <w:color w:val="000000"/>
                <w:sz w:val="24"/>
                <w:szCs w:val="24"/>
              </w:rPr>
              <w:t>1 264,00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3E3412">
              <w:rPr>
                <w:color w:val="000000"/>
                <w:sz w:val="24"/>
                <w:szCs w:val="24"/>
              </w:rPr>
              <w:t>1 473,42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3E3412">
              <w:rPr>
                <w:color w:val="000000"/>
                <w:sz w:val="24"/>
                <w:szCs w:val="24"/>
              </w:rPr>
              <w:t>2 469,75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E3412">
              <w:rPr>
                <w:color w:val="000000"/>
                <w:sz w:val="24"/>
                <w:szCs w:val="24"/>
                <w:highlight w:val="yellow"/>
              </w:rPr>
              <w:t>8 150,04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E3412">
              <w:rPr>
                <w:color w:val="000000"/>
                <w:sz w:val="24"/>
                <w:szCs w:val="24"/>
                <w:highlight w:val="yellow"/>
              </w:rPr>
              <w:t>1 058,94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E3412">
              <w:rPr>
                <w:color w:val="000000"/>
                <w:sz w:val="24"/>
                <w:szCs w:val="24"/>
                <w:highlight w:val="yellow"/>
              </w:rPr>
              <w:t>1 630,66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E3412">
              <w:rPr>
                <w:color w:val="000000"/>
                <w:sz w:val="24"/>
                <w:szCs w:val="24"/>
                <w:highlight w:val="yellow"/>
              </w:rPr>
              <w:t>2 192,67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 и приравненные к нему категории потребителей, за исключением указанного в пунктах 1.1.2 и 1.1.3: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</w:t>
            </w:r>
            <w:r w:rsidRPr="00601BF6">
              <w:rPr>
                <w:color w:val="000000"/>
                <w:sz w:val="24"/>
                <w:szCs w:val="24"/>
              </w:rPr>
              <w:lastRenderedPageBreak/>
              <w:t>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3,24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96,11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1 075,18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3,34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1 010,98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23,94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298,15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0,82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26,19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260,20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</w:t>
            </w:r>
            <w:r w:rsidRPr="00601BF6">
              <w:rPr>
                <w:color w:val="000000"/>
                <w:sz w:val="24"/>
                <w:szCs w:val="24"/>
              </w:rPr>
              <w:lastRenderedPageBreak/>
              <w:t>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5387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1,34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0,16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36,65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382,25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1,22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0,32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36,35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358,86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0,14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3,77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39,36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0,20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5,83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57,55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1.1.4.2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0,005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0,001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08626E" w:rsidRDefault="00305387" w:rsidP="00305387">
            <w:pPr>
              <w:jc w:val="center"/>
              <w:rPr>
                <w:sz w:val="24"/>
                <w:szCs w:val="24"/>
                <w:lang w:val="en-US"/>
              </w:rPr>
            </w:pPr>
            <w:r w:rsidRPr="00601BF6">
              <w:rPr>
                <w:sz w:val="24"/>
                <w:szCs w:val="24"/>
              </w:rPr>
              <w:t>0,12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08626E" w:rsidRDefault="00305387" w:rsidP="00305387">
            <w:pPr>
              <w:jc w:val="center"/>
              <w:rPr>
                <w:sz w:val="24"/>
                <w:szCs w:val="24"/>
                <w:lang w:val="en-US"/>
              </w:rPr>
            </w:pPr>
            <w:r w:rsidRPr="00601BF6">
              <w:rPr>
                <w:sz w:val="24"/>
                <w:szCs w:val="24"/>
              </w:rPr>
              <w:t>1,30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0,004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0,001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08626E" w:rsidRDefault="00305387" w:rsidP="00305387">
            <w:pPr>
              <w:jc w:val="center"/>
              <w:rPr>
                <w:sz w:val="24"/>
                <w:szCs w:val="24"/>
                <w:lang w:val="en-US"/>
              </w:rPr>
            </w:pPr>
            <w:r w:rsidRPr="00601BF6">
              <w:rPr>
                <w:sz w:val="24"/>
                <w:szCs w:val="24"/>
              </w:rPr>
              <w:t>0,11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08626E" w:rsidRDefault="00305387" w:rsidP="00305387">
            <w:pPr>
              <w:jc w:val="center"/>
              <w:rPr>
                <w:sz w:val="24"/>
                <w:szCs w:val="24"/>
                <w:lang w:val="en-US"/>
              </w:rPr>
            </w:pPr>
            <w:r w:rsidRPr="00601BF6">
              <w:rPr>
                <w:sz w:val="24"/>
                <w:szCs w:val="24"/>
              </w:rPr>
              <w:t>1,11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1.1.4.3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1,83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1.1.4.4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</w:t>
            </w:r>
            <w:r w:rsidRPr="00601BF6">
              <w:rPr>
                <w:color w:val="000000"/>
                <w:sz w:val="24"/>
                <w:szCs w:val="24"/>
              </w:rPr>
              <w:lastRenderedPageBreak/>
              <w:t>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1.1.4.5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1,28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млн.кВт∙ч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</w:rPr>
            </w:pPr>
            <w:r w:rsidRPr="003E3412">
              <w:rPr>
                <w:sz w:val="24"/>
                <w:szCs w:val="24"/>
              </w:rPr>
              <w:t>7 103,66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</w:rPr>
            </w:pPr>
            <w:r w:rsidRPr="003E3412">
              <w:rPr>
                <w:sz w:val="24"/>
                <w:szCs w:val="24"/>
              </w:rPr>
              <w:t>1 263,29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</w:rPr>
            </w:pPr>
            <w:r w:rsidRPr="003E3412">
              <w:rPr>
                <w:sz w:val="24"/>
                <w:szCs w:val="24"/>
              </w:rPr>
              <w:t>1 312,52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</w:rPr>
            </w:pPr>
            <w:r w:rsidRPr="003E3412">
              <w:rPr>
                <w:sz w:val="24"/>
                <w:szCs w:val="24"/>
              </w:rPr>
              <w:t>670,34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8 144,45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1 057,93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1 459,73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501,16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2 088,67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249,50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465,35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629,44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2 097,01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282,65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545,12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3E3412" w:rsidRDefault="00305387" w:rsidP="00305387">
            <w:pPr>
              <w:jc w:val="center"/>
              <w:rPr>
                <w:sz w:val="24"/>
                <w:szCs w:val="24"/>
                <w:highlight w:val="yellow"/>
              </w:rPr>
            </w:pPr>
            <w:r w:rsidRPr="003E3412">
              <w:rPr>
                <w:sz w:val="24"/>
                <w:szCs w:val="24"/>
                <w:highlight w:val="yellow"/>
              </w:rPr>
              <w:t>610,08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305387" w:rsidRPr="00601BF6" w:rsidTr="0030538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305387" w:rsidRPr="00601BF6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1,75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0,47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47,89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506,55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1,68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0,58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50,03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05387" w:rsidRPr="00601BF6" w:rsidRDefault="00305387" w:rsidP="00305387">
            <w:pPr>
              <w:jc w:val="center"/>
              <w:rPr>
                <w:sz w:val="24"/>
                <w:szCs w:val="24"/>
              </w:rPr>
            </w:pPr>
            <w:r w:rsidRPr="00601BF6">
              <w:rPr>
                <w:sz w:val="24"/>
                <w:szCs w:val="24"/>
              </w:rPr>
              <w:t>486,71</w:t>
            </w:r>
          </w:p>
        </w:tc>
      </w:tr>
    </w:tbl>
    <w:p w:rsidR="00305387" w:rsidRPr="00601BF6" w:rsidRDefault="00305387" w:rsidP="0030538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05387" w:rsidRPr="00601BF6" w:rsidRDefault="00305387" w:rsidP="00305387">
      <w:pPr>
        <w:widowControl w:val="0"/>
        <w:autoSpaceDE w:val="0"/>
        <w:autoSpaceDN w:val="0"/>
        <w:adjustRightInd w:val="0"/>
        <w:ind w:left="10915"/>
        <w:jc w:val="right"/>
        <w:rPr>
          <w:sz w:val="24"/>
          <w:szCs w:val="24"/>
        </w:rPr>
      </w:pPr>
      <w:r w:rsidRPr="00601BF6">
        <w:rPr>
          <w:sz w:val="24"/>
          <w:szCs w:val="24"/>
        </w:rPr>
        <w:t>Таблица 3</w:t>
      </w:r>
    </w:p>
    <w:p w:rsidR="00305387" w:rsidRPr="00601BF6" w:rsidRDefault="00305387" w:rsidP="0030538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Единые (котловые) тарифы</w:t>
      </w:r>
      <w:r>
        <w:rPr>
          <w:szCs w:val="28"/>
        </w:rPr>
        <w:t xml:space="preserve"> </w:t>
      </w:r>
      <w:r w:rsidRPr="00F26058">
        <w:rPr>
          <w:szCs w:val="28"/>
        </w:rPr>
        <w:t xml:space="preserve">на услуги по передаче электрической энергии по сетям сетевых организаций на территории </w:t>
      </w:r>
      <w:r w:rsidRPr="00F26058">
        <w:rPr>
          <w:szCs w:val="28"/>
        </w:rPr>
        <w:lastRenderedPageBreak/>
        <w:t>Республики Татарстан, поставляемой населению и приравненным к нему категориям потребителей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 1 января 2015 года по 31 декабря 2019 года с календарной разбивкой</w:t>
      </w:r>
    </w:p>
    <w:p w:rsidR="00305387" w:rsidRPr="00F26058" w:rsidRDefault="00305387" w:rsidP="00305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620"/>
        <w:gridCol w:w="12"/>
        <w:gridCol w:w="1535"/>
        <w:gridCol w:w="1505"/>
        <w:gridCol w:w="65"/>
        <w:gridCol w:w="2425"/>
        <w:gridCol w:w="142"/>
        <w:gridCol w:w="1278"/>
        <w:gridCol w:w="6"/>
        <w:gridCol w:w="2854"/>
        <w:gridCol w:w="1644"/>
      </w:tblGrid>
      <w:tr w:rsidR="00305387" w:rsidRPr="00F26058" w:rsidTr="00305387">
        <w:trPr>
          <w:trHeight w:val="1208"/>
        </w:trPr>
        <w:tc>
          <w:tcPr>
            <w:tcW w:w="237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pct"/>
            <w:gridSpan w:val="3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6</w:t>
            </w:r>
          </w:p>
        </w:tc>
      </w:tr>
      <w:tr w:rsidR="00305387" w:rsidRPr="00F26058" w:rsidTr="00305387">
        <w:trPr>
          <w:trHeight w:val="353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Население и приравненные к нему категории потребителей (тарифы указаны без учета НДС) </w:t>
            </w:r>
          </w:p>
        </w:tc>
      </w:tr>
      <w:tr w:rsidR="00305387" w:rsidRPr="00F26058" w:rsidTr="00305387">
        <w:trPr>
          <w:trHeight w:val="840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>Население и приравненные к нему категории потребителей, за исключением указанного в пунктах 1.2 и 1.3: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7" w:history="1">
              <w:r w:rsidRPr="00601BF6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2683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1,65638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1,78227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1.2</w:t>
            </w: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05387" w:rsidRPr="004B6AC3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lastRenderedPageBreak/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</w:t>
            </w:r>
            <w:r w:rsidRPr="00F26058">
              <w:rPr>
                <w:color w:val="000000"/>
                <w:sz w:val="23"/>
                <w:szCs w:val="23"/>
              </w:rPr>
              <w:lastRenderedPageBreak/>
              <w:t xml:space="preserve">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8" w:history="1">
              <w:r w:rsidRPr="00237C4F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305387" w:rsidRPr="00F26058" w:rsidTr="00305387">
        <w:trPr>
          <w:trHeight w:val="374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305387" w:rsidRPr="00F26058" w:rsidTr="00305387">
        <w:trPr>
          <w:trHeight w:val="374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305387" w:rsidRPr="00F26058" w:rsidTr="00305387">
        <w:trPr>
          <w:trHeight w:val="467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305387" w:rsidRPr="00F26058" w:rsidTr="00305387">
        <w:trPr>
          <w:trHeight w:val="374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305387" w:rsidRPr="00F26058" w:rsidTr="00305387">
        <w:trPr>
          <w:trHeight w:val="374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0,67546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>Население, проживающее в сельских населенных пунктах и приравненные к ним: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9" w:history="1">
              <w:r w:rsidRPr="00237C4F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lastRenderedPageBreak/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lastRenderedPageBreak/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0,67546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пункте 71 (1) Основ ценообразования в области регулируемых  цен (тарифов) в электроэнергетике, утвержденных постановлением Правительства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F26058">
              <w:rPr>
                <w:color w:val="000000"/>
                <w:sz w:val="24"/>
                <w:szCs w:val="24"/>
              </w:rPr>
              <w:t>от 29.11.2011 № 1178 и указанных в пункте 1.5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22" w:type="pct"/>
            <w:gridSpan w:val="2"/>
            <w:vMerge w:val="restart"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1,65638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1,78227</w:t>
            </w:r>
          </w:p>
        </w:tc>
      </w:tr>
      <w:tr w:rsidR="00305387" w:rsidRPr="00F26058" w:rsidTr="00305387">
        <w:trPr>
          <w:trHeight w:val="698"/>
        </w:trPr>
        <w:tc>
          <w:tcPr>
            <w:tcW w:w="237" w:type="pct"/>
            <w:shd w:val="clear" w:color="auto" w:fill="auto"/>
            <w:noWrap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39" w:type="pct"/>
            <w:gridSpan w:val="5"/>
            <w:shd w:val="clear" w:color="auto" w:fill="auto"/>
            <w:vAlign w:val="center"/>
          </w:tcPr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Приравненные к населению категории потребителей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>находящиеся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482" w:type="pct"/>
            <w:gridSpan w:val="3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>находящиеся в сельских населенных пунктах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>находящиеся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 xml:space="preserve">находящиеся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>в сельских населенных пунктах</w:t>
            </w:r>
          </w:p>
        </w:tc>
      </w:tr>
      <w:tr w:rsidR="00305387" w:rsidRPr="00F26058" w:rsidTr="00305387">
        <w:trPr>
          <w:trHeight w:val="556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0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305387" w:rsidRPr="00F26058" w:rsidTr="00305387">
        <w:trPr>
          <w:trHeight w:val="916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305387" w:rsidRPr="00F26058" w:rsidTr="00305387">
        <w:trPr>
          <w:trHeight w:val="71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305387" w:rsidRPr="00F26058" w:rsidTr="00305387">
        <w:trPr>
          <w:trHeight w:val="71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55408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305387" w:rsidRPr="00F26058" w:rsidTr="00305387">
        <w:trPr>
          <w:trHeight w:val="67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305387" w:rsidRPr="00F26058" w:rsidTr="00305387">
        <w:trPr>
          <w:trHeight w:val="71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0,67546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0,67546</w:t>
            </w:r>
          </w:p>
        </w:tc>
      </w:tr>
      <w:tr w:rsidR="00305387" w:rsidRPr="00F26058" w:rsidTr="00305387">
        <w:trPr>
          <w:trHeight w:val="487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1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305387" w:rsidRPr="00F26058" w:rsidTr="00305387">
        <w:trPr>
          <w:trHeight w:val="280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</w:tr>
      <w:tr w:rsidR="00305387" w:rsidRPr="00F26058" w:rsidTr="00305387">
        <w:trPr>
          <w:trHeight w:val="286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305387" w:rsidRPr="00F26058" w:rsidTr="00305387">
        <w:trPr>
          <w:trHeight w:val="286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42683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42683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54056</w:t>
            </w:r>
          </w:p>
        </w:tc>
      </w:tr>
      <w:tr w:rsidR="00305387" w:rsidRPr="00F26058" w:rsidTr="00305387">
        <w:trPr>
          <w:trHeight w:val="286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965" w:type="pct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305387" w:rsidRPr="00F26058" w:rsidTr="00305387">
        <w:trPr>
          <w:trHeight w:val="286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1,31350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1,31350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1,41332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1,41332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1.5.3</w:t>
            </w:r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305387" w:rsidRPr="00F26058" w:rsidTr="00305387">
        <w:trPr>
          <w:trHeight w:val="376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  <w:p w:rsidR="00305387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1,65638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1,78227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0,67546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1.5.4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305387" w:rsidRPr="00F26058" w:rsidRDefault="00305387" w:rsidP="00305387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2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305387" w:rsidRPr="00F26058" w:rsidTr="00305387">
        <w:trPr>
          <w:trHeight w:val="401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</w:t>
            </w:r>
          </w:p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(в том числе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305387" w:rsidRPr="00F26058" w:rsidTr="00305387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05387" w:rsidRPr="00F26058" w:rsidRDefault="00305387" w:rsidP="003053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hideMark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1,65638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0,62775</w:t>
            </w:r>
          </w:p>
        </w:tc>
        <w:tc>
          <w:tcPr>
            <w:tcW w:w="965" w:type="pct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1,78227</w:t>
            </w:r>
          </w:p>
        </w:tc>
        <w:tc>
          <w:tcPr>
            <w:tcW w:w="557" w:type="pct"/>
            <w:shd w:val="clear" w:color="auto" w:fill="auto"/>
          </w:tcPr>
          <w:p w:rsidR="00305387" w:rsidRPr="00F26058" w:rsidRDefault="00305387" w:rsidP="00305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0,67546»</w:t>
            </w:r>
          </w:p>
        </w:tc>
      </w:tr>
    </w:tbl>
    <w:p w:rsidR="00305387" w:rsidRPr="00237C4F" w:rsidRDefault="00305387" w:rsidP="00305387">
      <w:pPr>
        <w:rPr>
          <w:sz w:val="10"/>
          <w:szCs w:val="10"/>
        </w:rPr>
      </w:pPr>
      <w:bookmarkStart w:id="2" w:name="Par658"/>
      <w:bookmarkStart w:id="3" w:name="Par666"/>
      <w:bookmarkEnd w:id="2"/>
      <w:bookmarkEnd w:id="3"/>
    </w:p>
    <w:p w:rsidR="00305387" w:rsidRPr="00F26058" w:rsidRDefault="00046AF2" w:rsidP="00305387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3" w:history="1">
        <w:r w:rsidR="00305387" w:rsidRPr="00F26058">
          <w:rPr>
            <w:rFonts w:ascii="Times New Roman" w:hAnsi="Times New Roman" w:cs="Times New Roman"/>
            <w:color w:val="000000"/>
            <w:sz w:val="24"/>
            <w:szCs w:val="24"/>
          </w:rPr>
          <w:t>&lt;1&gt;</w:t>
        </w:r>
      </w:hyperlink>
      <w:r w:rsidR="00305387" w:rsidRPr="00F260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05387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Гарантирующие поставщики, </w:t>
      </w:r>
      <w:proofErr w:type="spellStart"/>
      <w:r w:rsidR="00305387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энергосбытовые</w:t>
      </w:r>
      <w:proofErr w:type="spellEnd"/>
      <w:r w:rsidR="00305387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05387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энергоснабжающие</w:t>
      </w:r>
      <w:proofErr w:type="spellEnd"/>
      <w:r w:rsidR="00305387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305387" w:rsidRPr="0043563D" w:rsidRDefault="00305387" w:rsidP="00305387">
      <w:pPr>
        <w:ind w:left="5954" w:hanging="5954"/>
        <w:rPr>
          <w:sz w:val="24"/>
          <w:szCs w:val="24"/>
        </w:rPr>
      </w:pPr>
    </w:p>
    <w:p w:rsidR="00305387" w:rsidRDefault="00305387" w:rsidP="00305387">
      <w:pPr>
        <w:autoSpaceDE w:val="0"/>
        <w:autoSpaceDN w:val="0"/>
        <w:adjustRightInd w:val="0"/>
        <w:outlineLvl w:val="0"/>
        <w:rPr>
          <w:szCs w:val="28"/>
        </w:rPr>
      </w:pPr>
    </w:p>
    <w:p w:rsidR="00305387" w:rsidRDefault="00305387" w:rsidP="00305387">
      <w:pPr>
        <w:autoSpaceDE w:val="0"/>
        <w:autoSpaceDN w:val="0"/>
        <w:adjustRightInd w:val="0"/>
        <w:outlineLvl w:val="0"/>
        <w:rPr>
          <w:szCs w:val="28"/>
        </w:rPr>
      </w:pPr>
    </w:p>
    <w:p w:rsidR="00305387" w:rsidRPr="00946A51" w:rsidRDefault="00305387" w:rsidP="00305387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305387" w:rsidRPr="00946A51" w:rsidRDefault="00305387" w:rsidP="00305387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621A5C" w:rsidRDefault="00305387" w:rsidP="003E3412">
      <w:pPr>
        <w:pStyle w:val="14"/>
        <w:jc w:val="left"/>
      </w:pPr>
      <w:r w:rsidRPr="003C20EC">
        <w:rPr>
          <w:b w:val="0"/>
        </w:rPr>
        <w:t>комитета Республики Татарстан по тарифам</w:t>
      </w:r>
    </w:p>
    <w:sectPr w:rsidR="00621A5C" w:rsidSect="00621A5C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4C7F"/>
    <w:rsid w:val="00005B8B"/>
    <w:rsid w:val="000068A1"/>
    <w:rsid w:val="00010284"/>
    <w:rsid w:val="00016999"/>
    <w:rsid w:val="0002320F"/>
    <w:rsid w:val="00041682"/>
    <w:rsid w:val="000417D5"/>
    <w:rsid w:val="00045DD6"/>
    <w:rsid w:val="00046AF2"/>
    <w:rsid w:val="00052F06"/>
    <w:rsid w:val="0005719A"/>
    <w:rsid w:val="000628CF"/>
    <w:rsid w:val="00066F42"/>
    <w:rsid w:val="00077C75"/>
    <w:rsid w:val="000822E2"/>
    <w:rsid w:val="00085DC4"/>
    <w:rsid w:val="000977AF"/>
    <w:rsid w:val="000A4778"/>
    <w:rsid w:val="000A6352"/>
    <w:rsid w:val="000A7529"/>
    <w:rsid w:val="000B23CC"/>
    <w:rsid w:val="000B70CE"/>
    <w:rsid w:val="000C158B"/>
    <w:rsid w:val="000C71D0"/>
    <w:rsid w:val="000D19B6"/>
    <w:rsid w:val="000E0B3C"/>
    <w:rsid w:val="000E733F"/>
    <w:rsid w:val="000F1A58"/>
    <w:rsid w:val="001016EA"/>
    <w:rsid w:val="00114106"/>
    <w:rsid w:val="00121CF4"/>
    <w:rsid w:val="00134897"/>
    <w:rsid w:val="00136EE8"/>
    <w:rsid w:val="001400C3"/>
    <w:rsid w:val="00151588"/>
    <w:rsid w:val="00151A5C"/>
    <w:rsid w:val="001533D7"/>
    <w:rsid w:val="00157131"/>
    <w:rsid w:val="00172887"/>
    <w:rsid w:val="00172B98"/>
    <w:rsid w:val="00177FFA"/>
    <w:rsid w:val="00180139"/>
    <w:rsid w:val="0018016C"/>
    <w:rsid w:val="00186C66"/>
    <w:rsid w:val="00196169"/>
    <w:rsid w:val="001A3B4B"/>
    <w:rsid w:val="001A58C2"/>
    <w:rsid w:val="001B09D6"/>
    <w:rsid w:val="001B3516"/>
    <w:rsid w:val="001B6835"/>
    <w:rsid w:val="001C2A59"/>
    <w:rsid w:val="001E26B2"/>
    <w:rsid w:val="001F7677"/>
    <w:rsid w:val="0020215D"/>
    <w:rsid w:val="002035EA"/>
    <w:rsid w:val="00203E50"/>
    <w:rsid w:val="00206B92"/>
    <w:rsid w:val="002132C1"/>
    <w:rsid w:val="002167FB"/>
    <w:rsid w:val="0022033C"/>
    <w:rsid w:val="00220787"/>
    <w:rsid w:val="00225010"/>
    <w:rsid w:val="00227FA5"/>
    <w:rsid w:val="00235377"/>
    <w:rsid w:val="00254840"/>
    <w:rsid w:val="00274C5E"/>
    <w:rsid w:val="00283E8C"/>
    <w:rsid w:val="00285398"/>
    <w:rsid w:val="002A67E2"/>
    <w:rsid w:val="002B1063"/>
    <w:rsid w:val="002B373E"/>
    <w:rsid w:val="002B3F20"/>
    <w:rsid w:val="002C79D9"/>
    <w:rsid w:val="002D3806"/>
    <w:rsid w:val="002D46D9"/>
    <w:rsid w:val="002E05BB"/>
    <w:rsid w:val="002E1CA7"/>
    <w:rsid w:val="002F19F3"/>
    <w:rsid w:val="002F47FA"/>
    <w:rsid w:val="003041FF"/>
    <w:rsid w:val="00305387"/>
    <w:rsid w:val="003116CF"/>
    <w:rsid w:val="003160A2"/>
    <w:rsid w:val="003241BE"/>
    <w:rsid w:val="00340BC3"/>
    <w:rsid w:val="00343D01"/>
    <w:rsid w:val="00345494"/>
    <w:rsid w:val="00355338"/>
    <w:rsid w:val="003556FE"/>
    <w:rsid w:val="00357A2E"/>
    <w:rsid w:val="00360CEA"/>
    <w:rsid w:val="0036570A"/>
    <w:rsid w:val="00366C37"/>
    <w:rsid w:val="00371EFD"/>
    <w:rsid w:val="00376B12"/>
    <w:rsid w:val="00390387"/>
    <w:rsid w:val="00392DB2"/>
    <w:rsid w:val="003B3A2E"/>
    <w:rsid w:val="003B7317"/>
    <w:rsid w:val="003C3B8C"/>
    <w:rsid w:val="003C4B09"/>
    <w:rsid w:val="003D04E5"/>
    <w:rsid w:val="003D5DFC"/>
    <w:rsid w:val="003E3412"/>
    <w:rsid w:val="003F5964"/>
    <w:rsid w:val="0040318C"/>
    <w:rsid w:val="00403E92"/>
    <w:rsid w:val="004052A7"/>
    <w:rsid w:val="004156A7"/>
    <w:rsid w:val="00423505"/>
    <w:rsid w:val="004247E8"/>
    <w:rsid w:val="00446258"/>
    <w:rsid w:val="00455443"/>
    <w:rsid w:val="00465D13"/>
    <w:rsid w:val="00471D3E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74FA"/>
    <w:rsid w:val="004D2182"/>
    <w:rsid w:val="004E5A11"/>
    <w:rsid w:val="004E6B79"/>
    <w:rsid w:val="004F58A8"/>
    <w:rsid w:val="005055CE"/>
    <w:rsid w:val="0050683A"/>
    <w:rsid w:val="00511667"/>
    <w:rsid w:val="00511A39"/>
    <w:rsid w:val="0051224F"/>
    <w:rsid w:val="0051228F"/>
    <w:rsid w:val="005179DF"/>
    <w:rsid w:val="00517B1B"/>
    <w:rsid w:val="00525571"/>
    <w:rsid w:val="00532898"/>
    <w:rsid w:val="0053789E"/>
    <w:rsid w:val="00543CCE"/>
    <w:rsid w:val="0054549D"/>
    <w:rsid w:val="00550DB2"/>
    <w:rsid w:val="005523E5"/>
    <w:rsid w:val="00553DCA"/>
    <w:rsid w:val="00557687"/>
    <w:rsid w:val="0056055B"/>
    <w:rsid w:val="00565AE8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95BDF"/>
    <w:rsid w:val="005A1686"/>
    <w:rsid w:val="005A2B0A"/>
    <w:rsid w:val="005B36C5"/>
    <w:rsid w:val="005B3E46"/>
    <w:rsid w:val="005B4877"/>
    <w:rsid w:val="005C1A40"/>
    <w:rsid w:val="005C443F"/>
    <w:rsid w:val="005C4508"/>
    <w:rsid w:val="005C5CDF"/>
    <w:rsid w:val="005D0C16"/>
    <w:rsid w:val="005D4FF1"/>
    <w:rsid w:val="005E280F"/>
    <w:rsid w:val="005E3916"/>
    <w:rsid w:val="005F1A46"/>
    <w:rsid w:val="005F7AB9"/>
    <w:rsid w:val="00600EB5"/>
    <w:rsid w:val="00611333"/>
    <w:rsid w:val="0061285F"/>
    <w:rsid w:val="00620EC4"/>
    <w:rsid w:val="00621A5C"/>
    <w:rsid w:val="00622E9A"/>
    <w:rsid w:val="00623488"/>
    <w:rsid w:val="006247DB"/>
    <w:rsid w:val="0062642D"/>
    <w:rsid w:val="006271A2"/>
    <w:rsid w:val="00631664"/>
    <w:rsid w:val="006328C1"/>
    <w:rsid w:val="00640CA3"/>
    <w:rsid w:val="006516F6"/>
    <w:rsid w:val="0065603E"/>
    <w:rsid w:val="00660CF7"/>
    <w:rsid w:val="006847B3"/>
    <w:rsid w:val="006A18BB"/>
    <w:rsid w:val="006E23A3"/>
    <w:rsid w:val="006E56ED"/>
    <w:rsid w:val="006E6557"/>
    <w:rsid w:val="00701377"/>
    <w:rsid w:val="00704309"/>
    <w:rsid w:val="00705771"/>
    <w:rsid w:val="0070728B"/>
    <w:rsid w:val="00715847"/>
    <w:rsid w:val="00716765"/>
    <w:rsid w:val="00751C8A"/>
    <w:rsid w:val="00760B50"/>
    <w:rsid w:val="007703B6"/>
    <w:rsid w:val="00773D36"/>
    <w:rsid w:val="00780553"/>
    <w:rsid w:val="007915CC"/>
    <w:rsid w:val="00792DB4"/>
    <w:rsid w:val="00794E57"/>
    <w:rsid w:val="00795449"/>
    <w:rsid w:val="007A096B"/>
    <w:rsid w:val="007B5077"/>
    <w:rsid w:val="007C42B9"/>
    <w:rsid w:val="007E1B37"/>
    <w:rsid w:val="007E30BC"/>
    <w:rsid w:val="007E49D4"/>
    <w:rsid w:val="00813950"/>
    <w:rsid w:val="00815509"/>
    <w:rsid w:val="00815A44"/>
    <w:rsid w:val="008205D4"/>
    <w:rsid w:val="008233D4"/>
    <w:rsid w:val="008251A9"/>
    <w:rsid w:val="008425D9"/>
    <w:rsid w:val="00853340"/>
    <w:rsid w:val="0086116D"/>
    <w:rsid w:val="00877DBD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029D2"/>
    <w:rsid w:val="009110EC"/>
    <w:rsid w:val="00935947"/>
    <w:rsid w:val="009372B4"/>
    <w:rsid w:val="009428B0"/>
    <w:rsid w:val="0095125A"/>
    <w:rsid w:val="00956351"/>
    <w:rsid w:val="009566A7"/>
    <w:rsid w:val="009732EA"/>
    <w:rsid w:val="00973B99"/>
    <w:rsid w:val="0098517D"/>
    <w:rsid w:val="00991848"/>
    <w:rsid w:val="0099248F"/>
    <w:rsid w:val="009928E9"/>
    <w:rsid w:val="0099482D"/>
    <w:rsid w:val="009A17D5"/>
    <w:rsid w:val="009A271A"/>
    <w:rsid w:val="009A775A"/>
    <w:rsid w:val="009B0026"/>
    <w:rsid w:val="009B559D"/>
    <w:rsid w:val="009C19EE"/>
    <w:rsid w:val="009D2F44"/>
    <w:rsid w:val="009F3B5B"/>
    <w:rsid w:val="00A07655"/>
    <w:rsid w:val="00A164F8"/>
    <w:rsid w:val="00A2360A"/>
    <w:rsid w:val="00A26683"/>
    <w:rsid w:val="00A3332B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3F10"/>
    <w:rsid w:val="00A97500"/>
    <w:rsid w:val="00AB2A0D"/>
    <w:rsid w:val="00AB522E"/>
    <w:rsid w:val="00AB6D32"/>
    <w:rsid w:val="00AC72EF"/>
    <w:rsid w:val="00AD4DE5"/>
    <w:rsid w:val="00AD6472"/>
    <w:rsid w:val="00AE0769"/>
    <w:rsid w:val="00AE0773"/>
    <w:rsid w:val="00AE0DA0"/>
    <w:rsid w:val="00AE1227"/>
    <w:rsid w:val="00AE1B0F"/>
    <w:rsid w:val="00AE4B4F"/>
    <w:rsid w:val="00AF167B"/>
    <w:rsid w:val="00AF2D2A"/>
    <w:rsid w:val="00B07405"/>
    <w:rsid w:val="00B15D39"/>
    <w:rsid w:val="00B33A96"/>
    <w:rsid w:val="00B3451E"/>
    <w:rsid w:val="00B34DE3"/>
    <w:rsid w:val="00B4069C"/>
    <w:rsid w:val="00B40E10"/>
    <w:rsid w:val="00B4252F"/>
    <w:rsid w:val="00B53D61"/>
    <w:rsid w:val="00B54B3B"/>
    <w:rsid w:val="00B6097F"/>
    <w:rsid w:val="00B65E72"/>
    <w:rsid w:val="00B67478"/>
    <w:rsid w:val="00B71357"/>
    <w:rsid w:val="00B716CB"/>
    <w:rsid w:val="00B73840"/>
    <w:rsid w:val="00B74472"/>
    <w:rsid w:val="00B827E3"/>
    <w:rsid w:val="00B86621"/>
    <w:rsid w:val="00B93922"/>
    <w:rsid w:val="00B962CE"/>
    <w:rsid w:val="00BA384C"/>
    <w:rsid w:val="00BA4F51"/>
    <w:rsid w:val="00BA6135"/>
    <w:rsid w:val="00BB2807"/>
    <w:rsid w:val="00BB2A1F"/>
    <w:rsid w:val="00BC138D"/>
    <w:rsid w:val="00BC3FF5"/>
    <w:rsid w:val="00BF0132"/>
    <w:rsid w:val="00BF62EB"/>
    <w:rsid w:val="00BF6395"/>
    <w:rsid w:val="00C07254"/>
    <w:rsid w:val="00C111D0"/>
    <w:rsid w:val="00C21759"/>
    <w:rsid w:val="00C26EFD"/>
    <w:rsid w:val="00C36218"/>
    <w:rsid w:val="00C65A70"/>
    <w:rsid w:val="00C71298"/>
    <w:rsid w:val="00C76572"/>
    <w:rsid w:val="00C83975"/>
    <w:rsid w:val="00C93E45"/>
    <w:rsid w:val="00CB6828"/>
    <w:rsid w:val="00CC102E"/>
    <w:rsid w:val="00CC1B52"/>
    <w:rsid w:val="00CC2666"/>
    <w:rsid w:val="00CC399F"/>
    <w:rsid w:val="00CD2936"/>
    <w:rsid w:val="00CD52C6"/>
    <w:rsid w:val="00CE2736"/>
    <w:rsid w:val="00CE2FE8"/>
    <w:rsid w:val="00CE4F94"/>
    <w:rsid w:val="00CF16C4"/>
    <w:rsid w:val="00CF2DEC"/>
    <w:rsid w:val="00CF4E3E"/>
    <w:rsid w:val="00D03E72"/>
    <w:rsid w:val="00D1269F"/>
    <w:rsid w:val="00D17DE2"/>
    <w:rsid w:val="00D2670E"/>
    <w:rsid w:val="00D26BA0"/>
    <w:rsid w:val="00D366E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34FA"/>
    <w:rsid w:val="00DF62B7"/>
    <w:rsid w:val="00E14EC1"/>
    <w:rsid w:val="00E160A5"/>
    <w:rsid w:val="00E21A67"/>
    <w:rsid w:val="00E26604"/>
    <w:rsid w:val="00E36F72"/>
    <w:rsid w:val="00E419EA"/>
    <w:rsid w:val="00E44829"/>
    <w:rsid w:val="00E53D67"/>
    <w:rsid w:val="00E70542"/>
    <w:rsid w:val="00E70EC3"/>
    <w:rsid w:val="00E85C3F"/>
    <w:rsid w:val="00E85D78"/>
    <w:rsid w:val="00EB4D09"/>
    <w:rsid w:val="00EB6CA5"/>
    <w:rsid w:val="00EC1EE3"/>
    <w:rsid w:val="00EC6156"/>
    <w:rsid w:val="00EC7BF3"/>
    <w:rsid w:val="00ED69E6"/>
    <w:rsid w:val="00EE27FA"/>
    <w:rsid w:val="00EF370E"/>
    <w:rsid w:val="00EF5955"/>
    <w:rsid w:val="00EF61A4"/>
    <w:rsid w:val="00F02081"/>
    <w:rsid w:val="00F042E5"/>
    <w:rsid w:val="00F07A42"/>
    <w:rsid w:val="00F1165B"/>
    <w:rsid w:val="00F154A0"/>
    <w:rsid w:val="00F20586"/>
    <w:rsid w:val="00F36835"/>
    <w:rsid w:val="00F5027C"/>
    <w:rsid w:val="00F527B3"/>
    <w:rsid w:val="00F61465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38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30538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30538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30538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30538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30538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30538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30538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30538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0538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538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538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538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53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538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305387"/>
  </w:style>
  <w:style w:type="paragraph" w:styleId="a8">
    <w:name w:val="Body Text"/>
    <w:basedOn w:val="a"/>
    <w:link w:val="a9"/>
    <w:rsid w:val="00305387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30538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30538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3053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30538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53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30538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3053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305387"/>
    <w:rPr>
      <w:i/>
      <w:iCs/>
    </w:rPr>
  </w:style>
  <w:style w:type="paragraph" w:styleId="ae">
    <w:name w:val="footer"/>
    <w:basedOn w:val="a"/>
    <w:link w:val="af"/>
    <w:uiPriority w:val="99"/>
    <w:rsid w:val="00305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5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305387"/>
    <w:rPr>
      <w:color w:val="800080"/>
      <w:u w:val="single"/>
    </w:rPr>
  </w:style>
  <w:style w:type="paragraph" w:customStyle="1" w:styleId="xl65">
    <w:name w:val="xl65"/>
    <w:basedOn w:val="a"/>
    <w:rsid w:val="0030538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30538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30538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30538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30538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30538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30538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30538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0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5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30538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30538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305387"/>
  </w:style>
  <w:style w:type="character" w:customStyle="1" w:styleId="apple-style-span">
    <w:name w:val="apple-style-span"/>
    <w:rsid w:val="00305387"/>
  </w:style>
  <w:style w:type="character" w:customStyle="1" w:styleId="apple-converted-space">
    <w:name w:val="apple-converted-space"/>
    <w:rsid w:val="00305387"/>
  </w:style>
  <w:style w:type="paragraph" w:customStyle="1" w:styleId="14">
    <w:name w:val="Обычный + 14 пт"/>
    <w:aliases w:val="По ширине,Первая строка:  1.25 см"/>
    <w:basedOn w:val="a"/>
    <w:rsid w:val="00305387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05387"/>
  </w:style>
  <w:style w:type="table" w:customStyle="1" w:styleId="24">
    <w:name w:val="Сетка таблицы2"/>
    <w:basedOn w:val="a1"/>
    <w:next w:val="a3"/>
    <w:uiPriority w:val="59"/>
    <w:rsid w:val="003053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38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30538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30538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30538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30538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30538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30538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30538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30538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0538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538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538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538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53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538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387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305387"/>
  </w:style>
  <w:style w:type="paragraph" w:styleId="a8">
    <w:name w:val="Body Text"/>
    <w:basedOn w:val="a"/>
    <w:link w:val="a9"/>
    <w:rsid w:val="00305387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30538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30538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3053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30538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53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30538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3053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305387"/>
    <w:rPr>
      <w:i/>
      <w:iCs/>
    </w:rPr>
  </w:style>
  <w:style w:type="paragraph" w:styleId="ae">
    <w:name w:val="footer"/>
    <w:basedOn w:val="a"/>
    <w:link w:val="af"/>
    <w:uiPriority w:val="99"/>
    <w:rsid w:val="00305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5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305387"/>
    <w:rPr>
      <w:color w:val="800080"/>
      <w:u w:val="single"/>
    </w:rPr>
  </w:style>
  <w:style w:type="paragraph" w:customStyle="1" w:styleId="xl65">
    <w:name w:val="xl65"/>
    <w:basedOn w:val="a"/>
    <w:rsid w:val="0030538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30538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30538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30538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30538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30538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30538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305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305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305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30538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0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5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30538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30538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305387"/>
  </w:style>
  <w:style w:type="character" w:customStyle="1" w:styleId="apple-style-span">
    <w:name w:val="apple-style-span"/>
    <w:rsid w:val="00305387"/>
  </w:style>
  <w:style w:type="character" w:customStyle="1" w:styleId="apple-converted-space">
    <w:name w:val="apple-converted-space"/>
    <w:rsid w:val="00305387"/>
  </w:style>
  <w:style w:type="paragraph" w:customStyle="1" w:styleId="14">
    <w:name w:val="Обычный + 14 пт"/>
    <w:aliases w:val="По ширине,Первая строка:  1.25 см"/>
    <w:basedOn w:val="a"/>
    <w:rsid w:val="00305387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0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05387"/>
  </w:style>
  <w:style w:type="table" w:customStyle="1" w:styleId="24">
    <w:name w:val="Сетка таблицы2"/>
    <w:basedOn w:val="a1"/>
    <w:next w:val="a3"/>
    <w:uiPriority w:val="59"/>
    <w:rsid w:val="003053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BCCA8CAAC5B9E653560139CAAC831200C4E06C2B4C6BBEECBA930694A3E45B1FCAABCF6BBV5H2M" TargetMode="External"/><Relationship Id="rId13" Type="http://schemas.openxmlformats.org/officeDocument/2006/relationships/hyperlink" Target="consultantplus://offline/ref=DD1BCCA8CAAC5B9E653560139CAAC831200C4E06C2B4C6BBEECBA930694A3E45B1FCAABCF6BBV5H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1BCCA8CAAC5B9E653560139CAAC831200C4E06C2B4C6BBEECBA930694A3E45B1FCAABCF6BBV5H2M" TargetMode="External"/><Relationship Id="rId12" Type="http://schemas.openxmlformats.org/officeDocument/2006/relationships/hyperlink" Target="consultantplus://offline/ref=DD1BCCA8CAAC5B9E653560139CAAC831200C4E06C2B4C6BBEECBA930694A3E45B1FCAABCF6BBV5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1BCCA8CAAC5B9E653560139CAAC831200C4E06C2B4C6BBEECBA930694A3E45B1FCAABCF6BBV5H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1BCCA8CAAC5B9E653560139CAAC831200C4E06C2B4C6BBEECBA930694A3E45B1FCAABCF6BBV5H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1BCCA8CAAC5B9E653560139CAAC831200C4E06C2B4C6BBEECBA930694A3E45B1FCAABCF6BBV5H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441D-8114-40C2-8B36-86DE27E4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</cp:revision>
  <cp:lastPrinted>2018-06-18T05:42:00Z</cp:lastPrinted>
  <dcterms:created xsi:type="dcterms:W3CDTF">2018-06-17T13:04:00Z</dcterms:created>
  <dcterms:modified xsi:type="dcterms:W3CDTF">2018-06-18T08:19:00Z</dcterms:modified>
</cp:coreProperties>
</file>