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FC" w:rsidRPr="001A3E7E" w:rsidRDefault="00A91AFC" w:rsidP="00A91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A91AFC" w:rsidRPr="001A3E7E" w:rsidRDefault="00A91AFC" w:rsidP="00A91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ПОСТАНОВЛЕНИЕ </w:t>
      </w:r>
    </w:p>
    <w:p w:rsidR="00A91AFC" w:rsidRPr="001A3E7E" w:rsidRDefault="00A91AFC" w:rsidP="00A91AF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государственного комитетА РЕСПУБЛИКИ  ТАТАРСТАН </w:t>
      </w: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тарифам</w:t>
      </w:r>
    </w:p>
    <w:p w:rsidR="00A91AFC" w:rsidRPr="001A3E7E" w:rsidRDefault="00A91AFC" w:rsidP="00A91AF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A91AFC" w:rsidRPr="001A3E7E" w:rsidRDefault="00A91AFC" w:rsidP="00A91AF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1AFC" w:rsidRPr="00C57D4F" w:rsidRDefault="001E0FCA" w:rsidP="001E0FCA">
      <w:pPr>
        <w:tabs>
          <w:tab w:val="left" w:pos="5954"/>
          <w:tab w:val="left" w:pos="6237"/>
        </w:tabs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корректировке на 201</w:t>
      </w:r>
      <w:r w:rsidR="00E07281" w:rsidRPr="00E07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долгосрочных тарифов на теплоноситель, поставляемый </w:t>
      </w:r>
      <w:r w:rsidR="004F6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6BD4" w:rsidRPr="00326BD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кционерным обществом «</w:t>
      </w:r>
      <w:r w:rsidR="00E07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Татэнерго</w:t>
      </w:r>
      <w:r w:rsidR="00326BD4" w:rsidRPr="00326B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потребителям, други</w:t>
      </w:r>
      <w:r w:rsidR="006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теплоснабжающим организациям,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A9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9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комитета Республики Татарстан по тарифам от 24.11.2015</w:t>
      </w:r>
      <w:r w:rsidR="00E9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FC">
        <w:rPr>
          <w:rFonts w:ascii="Times New Roman" w:eastAsia="Times New Roman" w:hAnsi="Times New Roman" w:cs="Times New Roman"/>
          <w:sz w:val="28"/>
          <w:szCs w:val="28"/>
          <w:lang w:eastAsia="ru-RU"/>
        </w:rPr>
        <w:t>5-35/тэ</w:t>
      </w:r>
      <w:r w:rsidR="00E0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AFC" w:rsidRDefault="00A91AFC" w:rsidP="00A91AFC">
      <w:pPr>
        <w:spacing w:after="0" w:line="240" w:lineRule="auto"/>
        <w:ind w:right="43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FC" w:rsidRDefault="00A91AFC" w:rsidP="00A91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 № 190-ФЗ  «О теплоснабжении», постановлением Правительства Российской Федерации     от 22 октября 2012 г. № 1075 «О ценообразовании в сфере теплоснабжения», приказом Федеральной службы по тарифам от 13 июня 2013 г.  № 760-э            «Об 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</w:t>
      </w:r>
      <w:proofErr w:type="gramEnd"/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15.06.2010 № 468,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E0FCA" w:rsidRP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корректировки долгосрочных тарифов на теплоноситель, </w:t>
      </w:r>
      <w:r w:rsidR="00D1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поставляемый </w:t>
      </w:r>
      <w:r w:rsidR="00E07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6BD4" w:rsidRPr="00326BD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кционерным обществом «</w:t>
      </w:r>
      <w:r w:rsidR="00E07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Татэнерго</w:t>
      </w:r>
      <w:r w:rsidR="00326BD4" w:rsidRPr="00326B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FCA" w:rsidRP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потребителям, другим теплоснабжающим ор</w:t>
      </w:r>
      <w:r w:rsid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ганизациям, на </w:t>
      </w:r>
      <w:r w:rsidR="006B397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07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E0FCA" w:rsidRP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уточнив плановую необходимую валовую выручку регули</w:t>
      </w:r>
      <w:r w:rsid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руемой организации на 201</w:t>
      </w:r>
      <w:r w:rsidR="00E07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Республики Татарстан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ПОСТАНОВЛЯЕТ:</w:t>
      </w:r>
    </w:p>
    <w:p w:rsidR="001E090C" w:rsidRDefault="00A91AFC" w:rsidP="00A91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4F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</w:t>
      </w:r>
      <w:r w:rsidR="001E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F6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комитета Республики Татарстан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</w:t>
      </w:r>
      <w:r w:rsidRPr="0039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24.11.2015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5-35/тэ «Об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носитель, поставляемый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0FCA" w:rsidRP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кционерным обществом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7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Татэнерго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потребителям, друг</w:t>
      </w:r>
      <w:r w:rsidR="0052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теплоснабжающим организациям,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2016-2018 год</w:t>
      </w:r>
      <w:r w:rsidR="00E9417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постановлением Государственного комитета Республики Татарстан по тарифам от 16.12.2016 №</w:t>
      </w:r>
      <w:r w:rsidR="0024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5-62/тэ) </w:t>
      </w:r>
      <w:r w:rsidR="001E090C" w:rsidRPr="001E0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F6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новой редакции согласно приложению к настоящему постановлению.</w:t>
      </w:r>
    </w:p>
    <w:p w:rsidR="00A91AFC" w:rsidRPr="001A3E7E" w:rsidRDefault="0041707D" w:rsidP="00A9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AFC"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 </w:t>
      </w:r>
      <w:proofErr w:type="gramStart"/>
      <w:r w:rsidR="00A91AFC"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A91AFC"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1AFC"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дня его официального опубликования.</w:t>
      </w:r>
    </w:p>
    <w:p w:rsidR="00E57799" w:rsidRDefault="00E57799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E9" w:rsidRPr="001A3E7E" w:rsidRDefault="000B55E9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625" w:rsidRDefault="00A91AFC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64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комитета </w:t>
      </w:r>
    </w:p>
    <w:p w:rsidR="00A91AFC" w:rsidRPr="001A3E7E" w:rsidRDefault="00647625" w:rsidP="00A91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по тарифам</w:t>
      </w:r>
      <w:r w:rsidR="00A9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1AFC"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91AFC"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М.Р.Зарипов</w:t>
      </w:r>
    </w:p>
    <w:p w:rsidR="00C57D4F" w:rsidRDefault="00A91AFC" w:rsidP="00EC3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1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E40" w:rsidRDefault="003D6E40" w:rsidP="00EC3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40" w:rsidRDefault="003D6E40" w:rsidP="00EC3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Default="00EC3004" w:rsidP="00EC3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91AFC" w:rsidRPr="00A9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A91AFC" w:rsidRPr="00A91AFC" w:rsidRDefault="00D72870" w:rsidP="00EC3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="00A91AFC" w:rsidRPr="00A9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A91AFC" w:rsidRPr="00A91AFC" w:rsidRDefault="00A91AFC" w:rsidP="00A91AF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 Республики Татарстан по тарифам</w:t>
      </w:r>
    </w:p>
    <w:p w:rsidR="00E66425" w:rsidRDefault="00A91AFC" w:rsidP="00A91AFC">
      <w:pPr>
        <w:tabs>
          <w:tab w:val="left" w:pos="992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   №______</w:t>
      </w:r>
    </w:p>
    <w:p w:rsidR="00A91AFC" w:rsidRPr="00A91AFC" w:rsidRDefault="00E66425" w:rsidP="00A91AFC">
      <w:pPr>
        <w:tabs>
          <w:tab w:val="left" w:pos="9923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к постановлению Государственного комитета Республики Татарстан по тарифам от </w:t>
      </w:r>
      <w:r w:rsidRPr="00266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24.11.2015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D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5-35/тэ</w:t>
      </w:r>
      <w:r w:rsidR="00A91AFC" w:rsidRPr="00A91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A91AFC" w:rsidRPr="00A91AFC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AFC" w:rsidRPr="001A3E7E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носитель, поставляемый </w:t>
      </w:r>
      <w:r w:rsidR="00D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0FCA" w:rsidRPr="001E0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кционерным обществом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Татэнерго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потребителям, другим теплоснабжающим организациям,</w:t>
      </w:r>
      <w:r w:rsidRPr="001A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2018 годы с календарной разбивкой</w:t>
      </w:r>
    </w:p>
    <w:p w:rsidR="00A91AFC" w:rsidRDefault="00A91AFC" w:rsidP="00A9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2019"/>
        <w:gridCol w:w="2410"/>
        <w:gridCol w:w="1134"/>
        <w:gridCol w:w="1134"/>
      </w:tblGrid>
      <w:tr w:rsidR="00A91AFC" w:rsidRPr="001A3E7E" w:rsidTr="00E66425">
        <w:trPr>
          <w:trHeight w:val="3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1F59C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A91AFC" w:rsidRPr="001A3E7E" w:rsidTr="00B42ED8">
        <w:trPr>
          <w:trHeight w:val="547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</w:tr>
      <w:tr w:rsidR="00A91AFC" w:rsidRPr="001A3E7E" w:rsidTr="000677A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EC3004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</w:t>
            </w:r>
            <w:r w:rsidR="00EC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деющей источником (источниками) тепловой энергии, на котором производится теплоноситель</w:t>
            </w:r>
          </w:p>
        </w:tc>
      </w:tr>
      <w:tr w:rsidR="00A91AFC" w:rsidRPr="001A3E7E" w:rsidTr="000677A5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Default="005D126E" w:rsidP="00D72870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Акционерное общество 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7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Татэнерго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91AFC" w:rsidRPr="001A3E7E" w:rsidTr="00B97863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  <w:r w:rsidR="005D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филиал</w:t>
            </w:r>
            <w:r w:rsidR="00D7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5D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Акционерного общества </w:t>
            </w: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7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Татэнерго</w:t>
            </w: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Казанская ТЭЦ-1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84,80</w:t>
            </w:r>
          </w:p>
        </w:tc>
      </w:tr>
      <w:tr w:rsidR="00A91AFC" w:rsidRPr="001A3E7E" w:rsidTr="00B97863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87,15</w:t>
            </w:r>
          </w:p>
        </w:tc>
      </w:tr>
      <w:tr w:rsidR="00A91AFC" w:rsidRPr="001A3E7E" w:rsidTr="00B97863">
        <w:trPr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23349" w:rsidRDefault="0012334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87,15</w:t>
            </w:r>
          </w:p>
        </w:tc>
      </w:tr>
      <w:tr w:rsidR="00A91AFC" w:rsidRPr="001A3E7E" w:rsidTr="00B97863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2334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23349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94,42</w:t>
            </w:r>
          </w:p>
        </w:tc>
      </w:tr>
      <w:tr w:rsidR="00A91AFC" w:rsidRPr="001A3E7E" w:rsidTr="00B97863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5F3C6C" w:rsidRDefault="005F3C6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B227FB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94,42</w:t>
            </w:r>
          </w:p>
        </w:tc>
      </w:tr>
      <w:tr w:rsidR="00A91AFC" w:rsidRPr="001A3E7E" w:rsidTr="00B97863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5F3C6C" w:rsidRDefault="005F3C6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B227FB" w:rsidP="00A1652B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100,85</w:t>
            </w:r>
          </w:p>
        </w:tc>
      </w:tr>
      <w:tr w:rsidR="00A91AFC" w:rsidRPr="001A3E7E" w:rsidTr="00B97863">
        <w:trPr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</w:t>
            </w:r>
            <w:r w:rsidR="00D7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 – филиал                    </w:t>
            </w:r>
            <w:r w:rsidR="005D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Акционерного общества </w:t>
            </w: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7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Татэнерго</w:t>
            </w: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Казанская ТЭЦ-1, районные котельные «Горки», «Азино»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2334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2334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4541D6" w:rsidRDefault="004541D6" w:rsidP="0045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4541D6" w:rsidRDefault="004541D6" w:rsidP="0045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</w:t>
            </w:r>
            <w:r w:rsidR="00D7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 – филиал                    </w:t>
            </w:r>
            <w:r w:rsidR="005D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Акционерного общества </w:t>
            </w: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7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Татэнерго</w:t>
            </w: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ТЭЦ-2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</w:t>
            </w: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110,50</w:t>
            </w:r>
          </w:p>
        </w:tc>
      </w:tr>
      <w:tr w:rsidR="00A91AFC" w:rsidRPr="001A3E7E" w:rsidTr="00B97863">
        <w:trPr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114,18</w:t>
            </w:r>
          </w:p>
        </w:tc>
      </w:tr>
      <w:tr w:rsidR="00A91AFC" w:rsidRPr="001A3E7E" w:rsidTr="00B97863">
        <w:trPr>
          <w:trHeight w:val="5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A91AFC" w:rsidRPr="001A3E7E" w:rsidTr="00977B57">
        <w:trPr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B9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58,</w:t>
            </w:r>
            <w:r w:rsidR="00B9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1734AC" w:rsidP="00B9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</w:t>
            </w:r>
            <w:r w:rsidR="00B9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91AFC" w:rsidRPr="001A3E7E" w:rsidTr="00977B57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977B57" w:rsidP="00977B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-3674194</wp:posOffset>
                      </wp:positionH>
                      <wp:positionV relativeFrom="paragraph">
                        <wp:posOffset>-5631</wp:posOffset>
                      </wp:positionV>
                      <wp:extent cx="3597215" cy="17253"/>
                      <wp:effectExtent l="0" t="0" r="22860" b="209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7215" cy="17253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9.3pt,-.45pt" to="-6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91AFC"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977B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4541D6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BE648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106,23</w:t>
            </w:r>
          </w:p>
        </w:tc>
      </w:tr>
      <w:tr w:rsidR="00A91AFC" w:rsidRPr="001A3E7E" w:rsidTr="00977B57">
        <w:trPr>
          <w:trHeight w:val="4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4541D6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BE648D" w:rsidP="00BE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152,19</w:t>
            </w:r>
          </w:p>
        </w:tc>
      </w:tr>
      <w:tr w:rsidR="00A91AFC" w:rsidRPr="001A3E7E" w:rsidTr="00B97863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D72870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– филиал </w:t>
            </w:r>
            <w:r w:rsidR="005D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Акционерного общества 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Татэнерго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Казанская ТЭЦ – 2, районная котельная «Савиново»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5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5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B948E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2973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4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2973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2665C3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5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D72870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– филиал </w:t>
            </w:r>
            <w:r w:rsidR="005D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Акционерного общества 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Татэнерго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Набережночелнинская ТЭЦ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A91AFC" w:rsidRPr="001A3E7E" w:rsidTr="00B97863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60,92</w:t>
            </w:r>
          </w:p>
        </w:tc>
      </w:tr>
      <w:tr w:rsidR="00A91AFC" w:rsidRPr="001A3E7E" w:rsidTr="00B97863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60,92</w:t>
            </w:r>
          </w:p>
        </w:tc>
      </w:tr>
      <w:tr w:rsidR="00A91AFC" w:rsidRPr="001A3E7E" w:rsidTr="00B97863">
        <w:trPr>
          <w:trHeight w:val="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954B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19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</w:t>
            </w:r>
            <w:r w:rsidR="0019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1AFC" w:rsidRPr="001A3E7E" w:rsidTr="00B9786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5C267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5C267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55,89</w:t>
            </w:r>
          </w:p>
        </w:tc>
      </w:tr>
      <w:tr w:rsidR="00A91AFC" w:rsidRPr="001A3E7E" w:rsidTr="00B97863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5C267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5C267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55,89</w:t>
            </w:r>
          </w:p>
        </w:tc>
      </w:tr>
      <w:tr w:rsidR="00A91AFC" w:rsidRPr="001A3E7E" w:rsidTr="00B97863">
        <w:trPr>
          <w:trHeight w:val="5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D72870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– филиал </w:t>
            </w:r>
            <w:r w:rsidR="005D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Акционерного общества 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Татэнерго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Набережночелнинская ТЭЦ, котельный цех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A91AFC" w:rsidRPr="001A3E7E" w:rsidTr="00B97863">
        <w:trPr>
          <w:trHeight w:val="5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42,73</w:t>
            </w:r>
          </w:p>
        </w:tc>
      </w:tr>
      <w:tr w:rsidR="00A91AFC" w:rsidRPr="001A3E7E" w:rsidTr="00B97863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42,73</w:t>
            </w:r>
          </w:p>
        </w:tc>
      </w:tr>
      <w:tr w:rsidR="00A91AFC" w:rsidRPr="001A3E7E" w:rsidTr="00B97863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43,28</w:t>
            </w:r>
          </w:p>
        </w:tc>
      </w:tr>
      <w:tr w:rsidR="00A91AFC" w:rsidRPr="001A3E7E" w:rsidTr="00B97863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5C267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5C267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43,28</w:t>
            </w:r>
          </w:p>
        </w:tc>
      </w:tr>
      <w:tr w:rsidR="00A91AFC" w:rsidRPr="001A3E7E" w:rsidTr="00B97863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5C2679" w:rsidP="0020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</w:t>
            </w:r>
            <w:r w:rsidR="002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360109" w:rsidRDefault="0049079B" w:rsidP="0049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A91AFC" w:rsidRPr="001A3E7E" w:rsidTr="00B97863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D72870" w:rsidP="00B4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– филиал </w:t>
            </w:r>
            <w:r w:rsidR="005D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Акционерного общества 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Татэнерго</w:t>
            </w:r>
            <w:r w:rsidR="00A9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Заинская ГРЭС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39,84</w:t>
            </w:r>
          </w:p>
        </w:tc>
      </w:tr>
      <w:tr w:rsidR="00A91AFC" w:rsidRPr="001A3E7E" w:rsidTr="00B97863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</w:tr>
      <w:tr w:rsidR="00A91AFC" w:rsidRPr="001A3E7E" w:rsidTr="00B97863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</w:tr>
      <w:tr w:rsidR="00A91AFC" w:rsidRPr="001A3E7E" w:rsidTr="00B97863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AE" w:rsidRPr="001954B9" w:rsidRDefault="008A58AE" w:rsidP="0019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734A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61,19</w:t>
            </w:r>
          </w:p>
        </w:tc>
      </w:tr>
      <w:tr w:rsidR="00A91AFC" w:rsidRPr="001A3E7E" w:rsidTr="00B97863">
        <w:trPr>
          <w:trHeight w:val="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6218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-3740150</wp:posOffset>
                      </wp:positionH>
                      <wp:positionV relativeFrom="paragraph">
                        <wp:posOffset>3175</wp:posOffset>
                      </wp:positionV>
                      <wp:extent cx="37623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62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4.5pt,.25pt" to="1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" strokecolor="#4579b8 [3044]"/>
                  </w:pict>
                </mc:Fallback>
              </mc:AlternateContent>
            </w:r>
            <w:r w:rsidR="00A91AFC"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BE648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BE648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61,19</w:t>
            </w:r>
          </w:p>
        </w:tc>
      </w:tr>
      <w:tr w:rsidR="00A91AFC" w:rsidRPr="001A3E7E" w:rsidTr="00B97863">
        <w:trPr>
          <w:trHeight w:val="5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BE648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BE648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114,58</w:t>
            </w:r>
          </w:p>
        </w:tc>
      </w:tr>
      <w:tr w:rsidR="00A91AFC" w:rsidRPr="001A3E7E" w:rsidTr="00EC3004">
        <w:trPr>
          <w:trHeight w:val="39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A91AFC" w:rsidRPr="001A3E7E" w:rsidTr="00EC3004">
        <w:trPr>
          <w:trHeight w:val="4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Default="005D126E" w:rsidP="00D7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  <w:r w:rsidR="00A9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7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Татэнерго</w:t>
            </w:r>
            <w:r w:rsidR="00A9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91AFC" w:rsidRPr="001A3E7E" w:rsidTr="00B97863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Казань»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A91AFC" w:rsidRPr="001A3E7E" w:rsidTr="00B97863">
        <w:trPr>
          <w:trHeight w:val="5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103,41</w:t>
            </w:r>
          </w:p>
        </w:tc>
      </w:tr>
      <w:tr w:rsidR="00A91AFC" w:rsidRPr="001A3E7E" w:rsidTr="00B97863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954B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954B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A91AFC" w:rsidRPr="001A3E7E" w:rsidTr="00B97863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954B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954B9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100,39</w:t>
            </w:r>
          </w:p>
        </w:tc>
      </w:tr>
      <w:tr w:rsidR="00A91AFC" w:rsidRPr="001A3E7E" w:rsidTr="00B97863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3B78D7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6B745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100,39</w:t>
            </w:r>
          </w:p>
        </w:tc>
      </w:tr>
      <w:tr w:rsidR="00A91AFC" w:rsidRPr="001A3E7E" w:rsidTr="00B97863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3B78D7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6B745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128,72</w:t>
            </w:r>
          </w:p>
        </w:tc>
      </w:tr>
      <w:tr w:rsidR="00A91AFC" w:rsidRPr="001A3E7E" w:rsidTr="00B97863">
        <w:trPr>
          <w:trHeight w:val="4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Набережные Челны»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444FB8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A91AFC" w:rsidRPr="001A3E7E" w:rsidTr="00B9786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59,75</w:t>
            </w:r>
          </w:p>
        </w:tc>
      </w:tr>
      <w:tr w:rsidR="00A91AFC" w:rsidRPr="001A3E7E" w:rsidTr="00B97863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59,75</w:t>
            </w:r>
          </w:p>
        </w:tc>
      </w:tr>
      <w:tr w:rsidR="00A91AFC" w:rsidRPr="001A3E7E" w:rsidTr="00B97863">
        <w:trPr>
          <w:trHeight w:val="4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67E87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67E87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64,64</w:t>
            </w:r>
          </w:p>
        </w:tc>
      </w:tr>
      <w:tr w:rsidR="00A91AFC" w:rsidRPr="001A3E7E" w:rsidTr="00B97863">
        <w:trPr>
          <w:trHeight w:val="4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433754" w:rsidP="0005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  <w:r w:rsidR="000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1AFC" w:rsidRPr="001A3E7E" w:rsidTr="00B97863">
        <w:trPr>
          <w:trHeight w:val="4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433754" w:rsidP="00EE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  <w:r w:rsidR="00EE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433754" w:rsidP="0005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  <w:r w:rsidR="000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1AFC" w:rsidRPr="001A3E7E" w:rsidTr="00B97863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 «город Нижнекамск»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B97863">
        <w:trPr>
          <w:trHeight w:val="4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1E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B9786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167E87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1E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B9786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167E87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1E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B9786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4848F6" w:rsidRDefault="004848F6" w:rsidP="0048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1E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3B" w:rsidRPr="001A3E7E" w:rsidTr="00B9786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D66D3B" w:rsidRPr="001A3E7E" w:rsidRDefault="00D66D3B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4848F6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3B" w:rsidRDefault="00D66D3B" w:rsidP="001E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1AFC" w:rsidRPr="001A3E7E" w:rsidTr="00B97863">
        <w:trPr>
          <w:trHeight w:val="6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 «город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Заинск»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Одноставочный тариф, руб./Гкал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01.01.2016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39,84</w:t>
            </w:r>
          </w:p>
        </w:tc>
      </w:tr>
      <w:tr w:rsidR="00A91AFC" w:rsidRPr="001A3E7E" w:rsidTr="00B9786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A91AFC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</w:tr>
      <w:tr w:rsidR="00A91AFC" w:rsidRPr="001A3E7E" w:rsidTr="00B9786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6218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-3692525</wp:posOffset>
                      </wp:positionH>
                      <wp:positionV relativeFrom="paragraph">
                        <wp:posOffset>-34925</wp:posOffset>
                      </wp:positionV>
                      <wp:extent cx="3590925" cy="0"/>
                      <wp:effectExtent l="0" t="0" r="952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0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0.75pt,-2.75pt" to="-8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" strokecolor="#4579b8 [3044]"/>
                  </w:pict>
                </mc:Fallback>
              </mc:AlternateContent>
            </w:r>
            <w:r w:rsidR="00A91AFC"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</w:tr>
      <w:tr w:rsidR="00A91AFC" w:rsidRPr="001A3E7E" w:rsidTr="00B9786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167E87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D66D3B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61,19</w:t>
            </w:r>
          </w:p>
        </w:tc>
      </w:tr>
      <w:tr w:rsidR="00A91AFC" w:rsidRPr="001A3E7E" w:rsidTr="00B9786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4D1D25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4D1D25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61,19</w:t>
            </w:r>
          </w:p>
        </w:tc>
      </w:tr>
      <w:tr w:rsidR="00A91AFC" w:rsidRPr="001A3E7E" w:rsidTr="00B9786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A91AFC" w:rsidRPr="001A3E7E" w:rsidRDefault="00A91AFC" w:rsidP="00A1652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4D1D25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C" w:rsidRDefault="004D1D25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114,58</w:t>
            </w:r>
          </w:p>
        </w:tc>
      </w:tr>
    </w:tbl>
    <w:p w:rsidR="00362A81" w:rsidRPr="004D5884" w:rsidRDefault="00362A81" w:rsidP="003A08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val="en-US"/>
        </w:rPr>
      </w:pPr>
      <w:bookmarkStart w:id="0" w:name="_GoBack"/>
      <w:bookmarkEnd w:id="0"/>
    </w:p>
    <w:sectPr w:rsidR="00362A81" w:rsidRPr="004D5884" w:rsidSect="00362A81">
      <w:headerReference w:type="even" r:id="rId8"/>
      <w:headerReference w:type="default" r:id="rId9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D2" w:rsidRDefault="00983AD2">
      <w:pPr>
        <w:spacing w:after="0" w:line="240" w:lineRule="auto"/>
      </w:pPr>
      <w:r>
        <w:separator/>
      </w:r>
    </w:p>
  </w:endnote>
  <w:endnote w:type="continuationSeparator" w:id="0">
    <w:p w:rsidR="00983AD2" w:rsidRDefault="0098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D2" w:rsidRDefault="00983AD2">
      <w:pPr>
        <w:spacing w:after="0" w:line="240" w:lineRule="auto"/>
      </w:pPr>
      <w:r>
        <w:separator/>
      </w:r>
    </w:p>
  </w:footnote>
  <w:footnote w:type="continuationSeparator" w:id="0">
    <w:p w:rsidR="00983AD2" w:rsidRDefault="0098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0C" w:rsidRDefault="001E090C" w:rsidP="00A165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90C" w:rsidRDefault="001E09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0C" w:rsidRDefault="001E090C" w:rsidP="00A1652B">
    <w:pPr>
      <w:pStyle w:val="a3"/>
      <w:framePr w:wrap="around" w:vAnchor="text" w:hAnchor="margin" w:xAlign="center" w:y="1"/>
      <w:rPr>
        <w:rStyle w:val="a5"/>
      </w:rPr>
    </w:pPr>
  </w:p>
  <w:p w:rsidR="001E090C" w:rsidRDefault="001E09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C"/>
    <w:rsid w:val="00051F67"/>
    <w:rsid w:val="000566BB"/>
    <w:rsid w:val="000677A5"/>
    <w:rsid w:val="000B55E9"/>
    <w:rsid w:val="00123349"/>
    <w:rsid w:val="00167E87"/>
    <w:rsid w:val="001734AC"/>
    <w:rsid w:val="00183E70"/>
    <w:rsid w:val="001954B9"/>
    <w:rsid w:val="001E090C"/>
    <w:rsid w:val="001E0FCA"/>
    <w:rsid w:val="001F59C9"/>
    <w:rsid w:val="00206AAE"/>
    <w:rsid w:val="00241179"/>
    <w:rsid w:val="00262F89"/>
    <w:rsid w:val="002665C3"/>
    <w:rsid w:val="00277136"/>
    <w:rsid w:val="002973C3"/>
    <w:rsid w:val="003014A5"/>
    <w:rsid w:val="00326BD4"/>
    <w:rsid w:val="00360109"/>
    <w:rsid w:val="00362A81"/>
    <w:rsid w:val="003A08F9"/>
    <w:rsid w:val="003B78D7"/>
    <w:rsid w:val="003D6E40"/>
    <w:rsid w:val="0041707D"/>
    <w:rsid w:val="004270CA"/>
    <w:rsid w:val="00433754"/>
    <w:rsid w:val="00444FB8"/>
    <w:rsid w:val="004541D6"/>
    <w:rsid w:val="004848F6"/>
    <w:rsid w:val="0049079B"/>
    <w:rsid w:val="004D1D25"/>
    <w:rsid w:val="004D5884"/>
    <w:rsid w:val="004F6C57"/>
    <w:rsid w:val="005270E3"/>
    <w:rsid w:val="005843BC"/>
    <w:rsid w:val="005C2679"/>
    <w:rsid w:val="005D126E"/>
    <w:rsid w:val="005F3C6C"/>
    <w:rsid w:val="006202CA"/>
    <w:rsid w:val="006218FC"/>
    <w:rsid w:val="00647625"/>
    <w:rsid w:val="00691D00"/>
    <w:rsid w:val="006B3971"/>
    <w:rsid w:val="006B745D"/>
    <w:rsid w:val="006D2222"/>
    <w:rsid w:val="006D3CD5"/>
    <w:rsid w:val="00701871"/>
    <w:rsid w:val="00885959"/>
    <w:rsid w:val="00886E2B"/>
    <w:rsid w:val="008A58AE"/>
    <w:rsid w:val="00905075"/>
    <w:rsid w:val="00977B57"/>
    <w:rsid w:val="00983AD2"/>
    <w:rsid w:val="009D3FB0"/>
    <w:rsid w:val="009F36F8"/>
    <w:rsid w:val="00A1652B"/>
    <w:rsid w:val="00A91AFC"/>
    <w:rsid w:val="00B227FB"/>
    <w:rsid w:val="00B42ED8"/>
    <w:rsid w:val="00B948EC"/>
    <w:rsid w:val="00B97863"/>
    <w:rsid w:val="00BE648D"/>
    <w:rsid w:val="00C57D4F"/>
    <w:rsid w:val="00D143C7"/>
    <w:rsid w:val="00D3228E"/>
    <w:rsid w:val="00D62209"/>
    <w:rsid w:val="00D66D3B"/>
    <w:rsid w:val="00D72870"/>
    <w:rsid w:val="00D95534"/>
    <w:rsid w:val="00E07281"/>
    <w:rsid w:val="00E57799"/>
    <w:rsid w:val="00E66425"/>
    <w:rsid w:val="00E94171"/>
    <w:rsid w:val="00EC3004"/>
    <w:rsid w:val="00EE273C"/>
    <w:rsid w:val="00EF54C3"/>
    <w:rsid w:val="00F55BAA"/>
    <w:rsid w:val="00F655BF"/>
    <w:rsid w:val="00FB077C"/>
    <w:rsid w:val="00FE2740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1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1AFC"/>
  </w:style>
  <w:style w:type="paragraph" w:styleId="a6">
    <w:name w:val="Balloon Text"/>
    <w:basedOn w:val="a"/>
    <w:link w:val="a7"/>
    <w:uiPriority w:val="99"/>
    <w:semiHidden/>
    <w:unhideWhenUsed/>
    <w:rsid w:val="003D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E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1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91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1AFC"/>
  </w:style>
  <w:style w:type="paragraph" w:styleId="a6">
    <w:name w:val="Balloon Text"/>
    <w:basedOn w:val="a"/>
    <w:link w:val="a7"/>
    <w:uiPriority w:val="99"/>
    <w:semiHidden/>
    <w:unhideWhenUsed/>
    <w:rsid w:val="003D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E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859C-6AB6-4BB8-8EAD-ECC544F8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Вторая приемная</dc:creator>
  <cp:lastModifiedBy>Акимова Алина Ринатовна</cp:lastModifiedBy>
  <cp:revision>63</cp:revision>
  <cp:lastPrinted>2017-11-14T08:32:00Z</cp:lastPrinted>
  <dcterms:created xsi:type="dcterms:W3CDTF">2016-11-09T09:11:00Z</dcterms:created>
  <dcterms:modified xsi:type="dcterms:W3CDTF">2017-11-16T14:50:00Z</dcterms:modified>
</cp:coreProperties>
</file>