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ПРОЕКТ</w:t>
      </w:r>
    </w:p>
    <w:p>
      <w:pPr>
        <w:pStyle w:val="Normal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5245" w:leader="none"/>
        </w:tabs>
        <w:suppressAutoHyphens w:val="true"/>
        <w:bidi w:val="0"/>
        <w:spacing w:lineRule="auto" w:line="240" w:before="0" w:after="0"/>
        <w:ind w:hanging="0" w:start="0" w:end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 внесении изменений в отдельные   постановления Кабинета Министров Республики Татарстан </w:t>
      </w:r>
    </w:p>
    <w:p>
      <w:pPr>
        <w:pStyle w:val="Normal"/>
        <w:spacing w:lineRule="auto" w:line="240" w:before="0" w:after="0"/>
        <w:ind w:hanging="0" w:end="4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 w:end="4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Кабинет Министров Республики Татарстан ПОСТАНОВЛЯЕТ: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1. </w:t>
      </w:r>
      <w:r>
        <w:rPr>
          <w:rFonts w:cs="Times New Roman" w:ascii="Times New Roman" w:hAnsi="Times New Roman"/>
          <w:sz w:val="28"/>
          <w:szCs w:val="28"/>
        </w:rPr>
        <w:t xml:space="preserve">Внести в Положение о региональном государственном экологическом контроле (надзоре) на территории Республики Татарстан, утвержденное постановлением Кабинета Министров Республики Татарстан от 22.09.2021 № 895 «Об утверждении Положения о региональном государственном экологическом контроле (надзоре) на территории Республики Татарстан» (с изменениями, внесенными постановлениями Кабинета Министров Республики Татарстан </w:t>
        <w:br/>
        <w:t xml:space="preserve">от 30.12.2021 № 1370, от 09.07.2022 № 661, от 11.11.2022 № 1194, от 04.10.2023 </w:t>
        <w:br/>
        <w:t>№ 1226, от 07.05.2024 № 311, от 16.09.2024 № 793, от 02.08.2025 № 559, от 13.01.2026 № 5, от 26.03.2026 № 275, от 17.08.2026 № 943) следующие изменения: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абзац четвертый пункта 1.5 дополнить словами «, перечень которых установлен Приложением № 2 к настоящему Положению»;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разделеVII: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7.4 слова «</w:t>
      </w:r>
      <w:r>
        <w:rPr>
          <w:rFonts w:ascii="Times New Roman" w:hAnsi="Times New Roman"/>
          <w:b w:val="false"/>
          <w:sz w:val="28"/>
          <w:szCs w:val="28"/>
        </w:rPr>
        <w:t>Центрального отдела» заменить словом «отделов»;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7.5 слова «</w:t>
      </w:r>
      <w:r>
        <w:rPr>
          <w:rFonts w:ascii="Times New Roman" w:hAnsi="Times New Roman"/>
          <w:b w:val="false"/>
          <w:sz w:val="28"/>
          <w:szCs w:val="28"/>
        </w:rPr>
        <w:t>Центрального отдела» заменить словом «отделов»;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ab/>
        <w:t>дополнить Положение разделом VIII следующего содержания: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>
          <w:rStyle w:val="Strong"/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 xml:space="preserve">«VIII. Порядок применения индикатора риска нарушения обязательных 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 xml:space="preserve">требований, не содержащего конкретные значения параметров объектов  контроля, при осуществлении регионального государственного экологического контроля (надзора) 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>
          <w:rStyle w:val="Strong"/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color w:val="0F1115"/>
          <w:spacing w:val="-10"/>
          <w:kern w:val="0"/>
          <w:sz w:val="24"/>
          <w:szCs w:val="24"/>
          <w:lang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4"/>
          <w:szCs w:val="24"/>
          <w:lang w:eastAsia="en-US" w:bidi="ar-SA"/>
        </w:rPr>
      </w:r>
    </w:p>
    <w:tbl>
      <w:tblPr>
        <w:tblW w:w="10167" w:type="dxa"/>
        <w:jc w:val="start"/>
        <w:tblInd w:w="77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50"/>
        <w:gridCol w:w="2717"/>
        <w:gridCol w:w="2465"/>
        <w:gridCol w:w="1284"/>
        <w:gridCol w:w="3251"/>
      </w:tblGrid>
      <w:tr>
        <w:trPr/>
        <w:tc>
          <w:tcPr>
            <w:tcW w:w="450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717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индикатора риска нарушения обязательных требований</w:t>
            </w:r>
          </w:p>
        </w:tc>
        <w:tc>
          <w:tcPr>
            <w:tcW w:w="3749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fill="auto" w:val="clear"/>
              </w:rPr>
              <w:t xml:space="preserve">Обязательные требования,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  <w:t>о нарушении которых с высокой вероятностью свидетельствует индикатор риска</w:t>
            </w:r>
          </w:p>
        </w:tc>
        <w:tc>
          <w:tcPr>
            <w:tcW w:w="3251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Перечень документов,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6"/>
                <w:szCs w:val="26"/>
                <w:shd w:fill="auto" w:val="clear"/>
                <w:lang w:eastAsia="en-US" w:bidi="ar-SA"/>
              </w:rPr>
              <w:t xml:space="preserve">подтверждающих факт отклонения объекта контроля от установленных параметров, и прилагаемых к решению о проведении контрольного (надзорного)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spacing w:val="-2"/>
                <w:kern w:val="0"/>
                <w:sz w:val="26"/>
                <w:szCs w:val="26"/>
                <w:shd w:fill="auto" w:val="clear"/>
                <w:lang w:eastAsia="en-US" w:bidi="ar-SA"/>
              </w:rPr>
              <w:t>мероприятия</w:t>
            </w:r>
          </w:p>
        </w:tc>
      </w:tr>
      <w:tr>
        <w:trPr/>
        <w:tc>
          <w:tcPr>
            <w:tcW w:w="45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717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4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fill="auto" w:val="clear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128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spacing w:val="-2"/>
                <w:kern w:val="0"/>
                <w:sz w:val="26"/>
                <w:szCs w:val="26"/>
                <w:shd w:fill="auto" w:val="clear"/>
                <w:lang w:eastAsia="en-US" w:bidi="ar-SA"/>
              </w:rPr>
              <w:t>Структурная единица нормативного правового акта</w:t>
            </w:r>
          </w:p>
        </w:tc>
        <w:tc>
          <w:tcPr>
            <w:tcW w:w="3251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user2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5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8.1</w:t>
            </w:r>
          </w:p>
        </w:tc>
        <w:tc>
          <w:tcPr>
            <w:tcW w:w="271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ind w:hanging="0" w:start="0" w:end="0"/>
              <w:contextualSpacing/>
              <w:jc w:val="both"/>
              <w:rPr/>
            </w:pPr>
            <w:r>
              <w:rPr>
                <w:rStyle w:val="Strong"/>
                <w:rFonts w:eastAsia="Calibri" w:cs="Tahoma" w:ascii="Times New Roman" w:hAnsi="Times New Roman"/>
                <w:b w:val="false"/>
                <w:bCs w:val="false"/>
                <w:i w:val="false"/>
                <w:iCs w:val="false"/>
                <w:color w:val="auto"/>
                <w:kern w:val="0"/>
                <w:sz w:val="26"/>
                <w:szCs w:val="26"/>
                <w:lang w:val="ru-RU" w:eastAsia="en-US" w:bidi="ar-SA"/>
              </w:rPr>
              <w:t xml:space="preserve">Получение информации, содержащейся в обращениях (заявлениях) граждан и организаций, информации от органов государственной власти, органов местного самоуправления, из средств массовой информации, указывающей на то, что юридическим лицом, индивидуальным предпринимателем ранее представлена недостоверная информация в Министерство </w:t>
            </w: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iCs w:val="false"/>
                <w:color w:val="auto"/>
                <w:kern w:val="0"/>
                <w:sz w:val="26"/>
                <w:szCs w:val="26"/>
                <w:lang w:val="ru-RU" w:eastAsia="en-US" w:bidi="ar-SA"/>
              </w:rPr>
              <w:t>в ходе представления отчетности и иной информации, представление которой является обязательным в соответствии с нормативными правовыми актами; при представлении документов для получения государственных услуг</w:t>
            </w:r>
          </w:p>
        </w:tc>
        <w:tc>
          <w:tcPr>
            <w:tcW w:w="24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  <w:t>Федеральный закон от 24 июня 1998 года № 89-ФЗ «Об отходах производства и потребления»</w:t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  <w:t>Федеральный закон от 4 мая 1999 года № 96-ФЗ «Об охране атмосферного воздуха»</w:t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  <w:t>Федеральный закон от 10 января 2002 года № 7-ФЗ «Об охране окружающей среды»</w:t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  <w:t>Водный кодекс Российской Федерации</w:t>
            </w:r>
          </w:p>
        </w:tc>
        <w:tc>
          <w:tcPr>
            <w:tcW w:w="128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  <w:t>статьи 19, 24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vertAlign w:val="superscript"/>
                <w:lang w:val="ru-RU" w:eastAsia="ru-RU" w:bidi="hi-IN"/>
              </w:rPr>
              <w:t>7</w:t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  <w:t>статья 30</w:t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  <w:t>статья 51</w:t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r>
          </w:p>
          <w:p>
            <w:pPr>
              <w:pStyle w:val="BodyText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  <w:t>статьи 11, 56, 60</w:t>
            </w:r>
          </w:p>
        </w:tc>
        <w:tc>
          <w:tcPr>
            <w:tcW w:w="325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pacing w:lineRule="atLeast" w:line="11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position w:val="0"/>
                <w:sz w:val="26"/>
                <w:sz w:val="26"/>
                <w:szCs w:val="26"/>
                <w:shd w:fill="auto" w:val="clear"/>
                <w:vertAlign w:val="baseline"/>
              </w:rPr>
              <w:t xml:space="preserve">1) </w:t>
            </w:r>
            <w:r>
              <w:rPr>
                <w:rFonts w:ascii="Times New Roman" w:hAnsi="Times New Roman"/>
                <w:i w:val="false"/>
                <w:iCs w:val="false"/>
                <w:position w:val="0"/>
                <w:sz w:val="26"/>
                <w:sz w:val="26"/>
                <w:szCs w:val="26"/>
                <w:vertAlign w:val="baseline"/>
              </w:rPr>
              <w:t>правоустанавливающие и иные документы, подтверждающие</w:t>
            </w:r>
            <w:r>
              <w:rPr>
                <w:rFonts w:ascii="Times New Roman" w:hAnsi="Times New Roman"/>
                <w:i w:val="false"/>
                <w:iCs w:val="false"/>
                <w:position w:val="1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 w:val="false"/>
                <w:iCs w:val="false"/>
                <w:sz w:val="26"/>
                <w:szCs w:val="26"/>
              </w:rPr>
              <w:t>индивидуализирующие признаки проверяемого объекта и его принадлежность контролируемому лицу (в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pacing w:val="-5"/>
                <w:kern w:val="0"/>
                <w:sz w:val="26"/>
                <w:szCs w:val="26"/>
                <w:lang w:eastAsia="en-US" w:bidi="ar-SA"/>
              </w:rPr>
              <w:t>ыписка из Государственного реестра объектов, оказывающих негативное воздействие на окружающую среду, выписка из единого государственного реестра юридических лиц или единого реестра индивидуальных предпринимателей</w:t>
            </w:r>
            <w:r>
              <w:rPr>
                <w:rFonts w:ascii="Times New Roman" w:hAnsi="Times New Roman"/>
                <w:i w:val="false"/>
                <w:iCs w:val="false"/>
                <w:sz w:val="26"/>
                <w:szCs w:val="26"/>
              </w:rPr>
              <w:t>);</w:t>
            </w:r>
          </w:p>
          <w:p>
            <w:pPr>
              <w:pStyle w:val="Normal"/>
              <w:spacing w:lineRule="atLeast" w:line="11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i w:val="false"/>
                <w:iCs w:val="false"/>
                <w:color w:val="auto"/>
                <w:kern w:val="0"/>
                <w:position w:val="0"/>
                <w:sz w:val="26"/>
                <w:sz w:val="26"/>
                <w:szCs w:val="26"/>
                <w:vertAlign w:val="baseline"/>
                <w:lang w:val="ru-RU" w:eastAsia="en-US" w:bidi="ar-SA"/>
              </w:rPr>
              <w:t xml:space="preserve">2) </w:t>
            </w:r>
            <w:r>
              <w:rPr>
                <w:rFonts w:eastAsia="Calibri" w:cs="Tahoma" w:ascii="Times New Roman" w:hAnsi="Times New Roman"/>
                <w:i w:val="false"/>
                <w:iCs w:val="false"/>
                <w:color w:val="auto"/>
                <w:kern w:val="0"/>
                <w:sz w:val="26"/>
                <w:szCs w:val="26"/>
                <w:lang w:val="ru-RU" w:eastAsia="en-US" w:bidi="ar-SA"/>
              </w:rPr>
              <w:t>материалы, подтверждающие отклонения объекта контроля от установленных параметров (информация из автоматической станции контроля за атмосферным воздухом);</w:t>
            </w:r>
          </w:p>
          <w:p>
            <w:pPr>
              <w:pStyle w:val="BodyText"/>
              <w:spacing w:lineRule="auto" w:line="240" w:before="0" w:after="0"/>
              <w:ind w:hanging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position w:val="0"/>
                <w:sz w:val="26"/>
                <w:sz w:val="26"/>
                <w:szCs w:val="26"/>
                <w:vertAlign w:val="baseline"/>
              </w:rPr>
              <w:t>3) документы, подтверждающие проведение контрольных (надзорных)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position w:val="14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position w:val="0"/>
                <w:sz w:val="26"/>
                <w:sz w:val="26"/>
                <w:szCs w:val="26"/>
                <w:vertAlign w:val="baseline"/>
              </w:rPr>
              <w:t>мероприятий без взаимодействия и (или) профилактических мероприятий,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-12"/>
                <w:position w:val="0"/>
                <w:sz w:val="26"/>
                <w:sz w:val="26"/>
                <w:szCs w:val="26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position w:val="0"/>
                <w:sz w:val="26"/>
                <w:sz w:val="26"/>
                <w:szCs w:val="26"/>
                <w:vertAlign w:val="baseline"/>
              </w:rPr>
              <w:t>в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-7"/>
                <w:position w:val="0"/>
                <w:sz w:val="26"/>
                <w:sz w:val="26"/>
                <w:szCs w:val="26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position w:val="0"/>
                <w:sz w:val="26"/>
                <w:sz w:val="26"/>
                <w:szCs w:val="26"/>
                <w:vertAlign w:val="baseline"/>
              </w:rPr>
              <w:t>случае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-7"/>
                <w:position w:val="0"/>
                <w:sz w:val="26"/>
                <w:sz w:val="26"/>
                <w:szCs w:val="26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sz w:val="26"/>
                <w:szCs w:val="26"/>
              </w:rPr>
              <w:t>если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sz w:val="26"/>
                <w:szCs w:val="26"/>
              </w:rPr>
              <w:t>такие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-12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sz w:val="26"/>
                <w:szCs w:val="26"/>
              </w:rPr>
              <w:t>мероприятия проводились (з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kern w:val="0"/>
                <w:sz w:val="26"/>
                <w:szCs w:val="26"/>
                <w:lang w:eastAsia="en-US" w:bidi="ar-SA"/>
              </w:rPr>
              <w:t xml:space="preserve">адание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spacing w:val="2"/>
                <w:sz w:val="26"/>
                <w:szCs w:val="26"/>
              </w:rPr>
              <w:t>главного государственного инспектора Республики Татарстан, его заместителей,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kern w:val="0"/>
                <w:sz w:val="26"/>
                <w:szCs w:val="26"/>
                <w:lang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kern w:val="0"/>
                <w:sz w:val="26"/>
                <w:szCs w:val="26"/>
                <w:shd w:fill="auto" w:val="clear"/>
                <w:lang w:eastAsia="en-US" w:bidi="ar-SA"/>
              </w:rPr>
              <w:t xml:space="preserve">заключение на проведение контрольного (надзорного) мероприятия без взаимодействия,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spacing w:val="2"/>
                <w:sz w:val="26"/>
                <w:szCs w:val="26"/>
                <w:shd w:fill="auto" w:val="clear"/>
              </w:rPr>
              <w:t xml:space="preserve">акт контрольного (надзорного) мероприятия без взаимодействия,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kern w:val="0"/>
                <w:sz w:val="26"/>
                <w:szCs w:val="26"/>
                <w:shd w:fill="auto" w:val="clear"/>
                <w:lang w:eastAsia="en-US" w:bidi="ar-SA"/>
              </w:rPr>
              <w:t xml:space="preserve">выписка из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spacing w:val="2"/>
                <w:sz w:val="26"/>
                <w:szCs w:val="26"/>
                <w:shd w:fill="auto" w:val="clear"/>
              </w:rPr>
              <w:t xml:space="preserve">Единого реестра контрольных (надзорных) мероприятий,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kern w:val="0"/>
                <w:sz w:val="26"/>
                <w:szCs w:val="26"/>
                <w:shd w:fill="auto" w:val="clear"/>
                <w:lang w:eastAsia="en-US" w:bidi="ar-SA"/>
              </w:rPr>
              <w:t xml:space="preserve">предостережение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spacing w:val="2"/>
                <w:sz w:val="26"/>
                <w:szCs w:val="26"/>
                <w:shd w:fill="auto" w:val="clear"/>
              </w:rPr>
              <w:t>о недопустимости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spacing w:val="2"/>
                <w:sz w:val="26"/>
                <w:szCs w:val="26"/>
              </w:rPr>
              <w:t xml:space="preserve"> нарушения обязательных требований);</w:t>
            </w:r>
          </w:p>
          <w:p>
            <w:pPr>
              <w:pStyle w:val="TableParagraph"/>
              <w:widowControl/>
              <w:suppressAutoHyphens w:val="true"/>
              <w:overflowPunct w:val="false"/>
              <w:bidi w:val="0"/>
              <w:spacing w:lineRule="auto" w:line="240" w:before="0" w:after="0"/>
              <w:ind w:hanging="0" w:start="0" w:end="0"/>
              <w:contextualSpacing/>
              <w:jc w:val="both"/>
              <w:rPr/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pacing w:val="-10"/>
                <w:kern w:val="0"/>
                <w:position w:val="0"/>
                <w:sz w:val="26"/>
                <w:sz w:val="26"/>
                <w:szCs w:val="26"/>
                <w:vertAlign w:val="baseline"/>
                <w:lang w:val="ru-RU" w:eastAsia="en-US" w:bidi="ar-SA"/>
              </w:rPr>
              <w:t xml:space="preserve">4) представление 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pacing w:val="-10"/>
                <w:kern w:val="0"/>
                <w:position w:val="0"/>
                <w:sz w:val="26"/>
                <w:sz w:val="26"/>
                <w:szCs w:val="26"/>
                <w:vertAlign w:val="baseline"/>
                <w:lang w:eastAsia="en-US" w:bidi="ar-SA"/>
              </w:rPr>
              <w:t>об устранении нарушений закона</w:t>
            </w:r>
          </w:p>
        </w:tc>
      </w:tr>
    </w:tbl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>»;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>
          <w:rStyle w:val="Strong"/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hanging="0" w:start="0" w:end="34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2"/>
          <w:kern w:val="0"/>
          <w:sz w:val="28"/>
          <w:szCs w:val="28"/>
          <w:lang w:eastAsia="en-US" w:bidi="ar-SA"/>
        </w:rPr>
        <w:tab/>
        <w:t>в Приложении к указанному Положению: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2"/>
          <w:kern w:val="0"/>
          <w:sz w:val="28"/>
          <w:szCs w:val="28"/>
          <w:lang w:eastAsia="en-US" w:bidi="ar-SA"/>
        </w:rPr>
        <w:tab/>
        <w:t xml:space="preserve">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2"/>
          <w:kern w:val="0"/>
          <w:sz w:val="28"/>
          <w:szCs w:val="28"/>
          <w:shd w:fill="auto" w:val="clear"/>
          <w:lang w:eastAsia="en-US" w:bidi="ar-SA"/>
        </w:rPr>
        <w:t xml:space="preserve">нумерационном заголовке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2"/>
          <w:kern w:val="0"/>
          <w:sz w:val="28"/>
          <w:szCs w:val="28"/>
          <w:lang w:eastAsia="en-US" w:bidi="ar-SA"/>
        </w:rPr>
        <w:t xml:space="preserve">слова «Приложение к» заменить словами «Приложение № 1 к»; 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ab/>
        <w:t>в пункте 14 слово «уменьшению» заменить словом «снижению»;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ab/>
        <w:t>дополнить Положение Приложением № 2 в следующей редакции: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>
          <w:rFonts w:ascii="Times New Roman" w:hAnsi="Times New Roman" w:eastAsia="Times New Roman" w:cs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 xml:space="preserve">                                                                                                          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>«Приложение № 2  к Положению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color w:val="0F1115"/>
          <w:spacing w:val="-10"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cs="Times New Roman" w:ascii="Times New Roman" w:hAnsi="Times New Roman"/>
          <w:b w:val="false"/>
          <w:color w:val="0F1115"/>
          <w:spacing w:val="-10"/>
          <w:sz w:val="28"/>
          <w:szCs w:val="28"/>
        </w:rPr>
        <w:t xml:space="preserve">о региональном государственном </w:t>
      </w:r>
    </w:p>
    <w:p>
      <w:pPr>
        <w:pStyle w:val="BodyText"/>
        <w:spacing w:lineRule="atLeast" w:line="285" w:before="0" w:after="283"/>
        <w:ind w:hanging="0" w:start="0" w:end="0"/>
        <w:contextualSpacing/>
        <w:jc w:val="end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color w:val="0F1115"/>
          <w:spacing w:val="-10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 w:val="false"/>
          <w:color w:val="0F1115"/>
          <w:spacing w:val="-10"/>
          <w:sz w:val="28"/>
          <w:szCs w:val="28"/>
        </w:rPr>
        <w:t xml:space="preserve">экологическом контроле (надзоре) </w:t>
      </w:r>
    </w:p>
    <w:p>
      <w:pPr>
        <w:pStyle w:val="BodyText"/>
        <w:spacing w:lineRule="atLeast" w:line="285" w:before="0" w:after="283"/>
        <w:ind w:hanging="0" w:start="0" w:end="0"/>
        <w:contextualSpacing/>
        <w:jc w:val="end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color w:val="0F1115"/>
          <w:spacing w:val="-10"/>
          <w:sz w:val="28"/>
          <w:szCs w:val="28"/>
        </w:rPr>
        <w:t xml:space="preserve">на территории Республики Татарстан 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>
          <w:rFonts w:ascii="Times New Roman" w:hAnsi="Times New Roman" w:eastAsia="Times New Roman" w:cs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>
          <w:rFonts w:ascii="Times New Roman" w:hAnsi="Times New Roman" w:eastAsia="Times New Roman" w:cs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  <w:t xml:space="preserve">Перечень признаков нарушений обязательных требований, соблюдение которых является предметом регионального государственного экологического контроля (надзора), полученных с использованием средств, работающих в автоматическом режиме, </w:t>
      </w: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  <w:lang w:eastAsia="ru-RU"/>
        </w:rPr>
        <w:t>имеющих функции фотосъемки, видеозаписи, в том числе беспилотных аппаратов (систем)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>
          <w:rFonts w:ascii="Times New Roman" w:hAnsi="Times New Roman" w:eastAsia="Times New Roman" w:cs="Times New Roman"/>
          <w:b w:val="false"/>
          <w:color w:val="0F1115"/>
          <w:spacing w:val="-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F1115"/>
          <w:spacing w:val="-2"/>
          <w:sz w:val="28"/>
          <w:szCs w:val="28"/>
        </w:rPr>
      </w:pPr>
      <w:r>
        <w:rPr>
          <w:rFonts w:eastAsia="Times New Roman" w:cs="Times New Roman" w:ascii="Times New Roman" w:hAnsi="Times New Roman"/>
          <w:color w:val="0F1115"/>
          <w:spacing w:val="-2"/>
          <w:sz w:val="28"/>
          <w:szCs w:val="28"/>
        </w:rPr>
        <w:tab/>
        <w:t xml:space="preserve">1. </w:t>
      </w: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</w:rPr>
        <w:t xml:space="preserve"> Несоблюдение требований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потребления.</w:t>
      </w:r>
    </w:p>
    <w:p>
      <w:pPr>
        <w:pStyle w:val="BodyText"/>
        <w:spacing w:before="0" w:after="0"/>
        <w:contextualSpacing/>
        <w:jc w:val="both"/>
        <w:rPr>
          <w:rFonts w:ascii="Times New Roman" w:hAnsi="Times New Roman" w:eastAsia="Times New Roman" w:cs="Times New Roman"/>
          <w:b w:val="false"/>
          <w:color w:val="0F1115"/>
          <w:spacing w:val="-2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</w:rPr>
        <w:tab/>
        <w:t>2. Выгрузка или сброс с транспортных средств и прицепов к ним отходов производства и потребления вне объектов размещения отходов или мест (площадок) накопления отходов.</w:t>
      </w:r>
    </w:p>
    <w:p>
      <w:pPr>
        <w:pStyle w:val="BodyText"/>
        <w:spacing w:before="0" w:after="0"/>
        <w:contextualSpacing/>
        <w:jc w:val="both"/>
        <w:rPr>
          <w:rFonts w:ascii="Times New Roman" w:hAnsi="Times New Roman" w:eastAsia="Times New Roman" w:cs="Times New Roman"/>
          <w:b w:val="false"/>
          <w:color w:val="0F1115"/>
          <w:spacing w:val="-2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</w:rPr>
        <w:tab/>
        <w:t>3. Наличие движения и стоянки транспортных средств в границах водоохранных зон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</w:t>
      </w:r>
    </w:p>
    <w:p>
      <w:pPr>
        <w:pStyle w:val="BodyText"/>
        <w:spacing w:before="0" w:after="0"/>
        <w:contextualSpacing/>
        <w:jc w:val="both"/>
        <w:rPr>
          <w:rFonts w:ascii="Times New Roman" w:hAnsi="Times New Roman" w:eastAsia="Times New Roman" w:cs="Times New Roman"/>
          <w:b w:val="false"/>
          <w:color w:val="0F1115"/>
          <w:spacing w:val="-2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</w:rPr>
        <w:tab/>
        <w:t>4. Наличие загрязнения водного объекта отходами производства и потребления.</w:t>
      </w:r>
    </w:p>
    <w:p>
      <w:pPr>
        <w:pStyle w:val="Normal"/>
        <w:spacing w:before="0" w:after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F1115"/>
          <w:spacing w:val="-2"/>
          <w:sz w:val="28"/>
          <w:szCs w:val="28"/>
        </w:rPr>
        <w:tab/>
        <w:t>5. Наличие пленки нефтепродуктов, масел, жиров и скопления других примесей на акватории водного объекта.</w:t>
      </w:r>
    </w:p>
    <w:p>
      <w:pPr>
        <w:pStyle w:val="BodyText"/>
        <w:spacing w:before="0" w:after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F1115"/>
          <w:spacing w:val="-2"/>
          <w:sz w:val="28"/>
          <w:szCs w:val="28"/>
        </w:rPr>
        <w:tab/>
        <w:t>6. Обнаружение ограничений свободного доступа граждан к водным объектам общего пользования и их береговым полосам.</w:t>
      </w:r>
    </w:p>
    <w:p>
      <w:pPr>
        <w:pStyle w:val="BodyText"/>
        <w:spacing w:before="0" w:after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F1115"/>
          <w:spacing w:val="-2"/>
          <w:sz w:val="28"/>
          <w:szCs w:val="28"/>
        </w:rPr>
        <w:tab/>
        <w:t>7. Самовольное занятие водного объекта или его части, либо использование их без документов, на основании которых возникает право пользования водным объектом или его частью, либо водопользование с нарушением его условий.</w:t>
      </w:r>
    </w:p>
    <w:p>
      <w:pPr>
        <w:pStyle w:val="BodyText"/>
        <w:spacing w:before="0" w:after="0"/>
        <w:ind w:firstLine="709"/>
        <w:contextualSpacing/>
        <w:jc w:val="both"/>
        <w:rPr>
          <w:rFonts w:ascii="Times New Roman" w:hAnsi="Times New Roman" w:eastAsia="Times New Roman" w:cs="Times New Roman"/>
          <w:b w:val="false"/>
          <w:color w:val="0F1115"/>
          <w:spacing w:val="-2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</w:rPr>
        <w:t>8. Наличие сброса сточных, в том числе дренажных, вод в границах водоохранных зон.</w:t>
      </w:r>
    </w:p>
    <w:p>
      <w:pPr>
        <w:pStyle w:val="BodyText"/>
        <w:spacing w:before="0" w:after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F1115"/>
          <w:spacing w:val="-2"/>
          <w:sz w:val="28"/>
          <w:szCs w:val="28"/>
        </w:rPr>
        <w:tab/>
        <w:t>9. Нарушение водоохранного режима на водосборах водных объектов, которое может повлечь загрязнение указанных объектов или другие вредные явления.</w:t>
      </w:r>
    </w:p>
    <w:p>
      <w:pPr>
        <w:pStyle w:val="BodyText"/>
        <w:spacing w:before="0" w:after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F1115"/>
          <w:spacing w:val="-2"/>
          <w:sz w:val="28"/>
          <w:szCs w:val="28"/>
        </w:rPr>
        <w:tab/>
        <w:t>10. Нарушение правил водопользования при заборе воды, без изъятия воды и при сбросе сточных вод в водные объекты.</w:t>
      </w:r>
    </w:p>
    <w:p>
      <w:pPr>
        <w:pStyle w:val="BodyText"/>
        <w:spacing w:before="0" w:after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F1115"/>
          <w:spacing w:val="-2"/>
          <w:sz w:val="28"/>
          <w:szCs w:val="28"/>
        </w:rPr>
        <w:tab/>
        <w:t xml:space="preserve">11.  </w:t>
      </w:r>
      <w:r>
        <w:rPr>
          <w:rFonts w:eastAsia="Times New Roman" w:cs="Times New Roman" w:ascii="Times New Roman" w:hAnsi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  <w:t>Осуществление в границах прибрежных защитных полос водоохранных зон водных объектов рыбохозяйственного значения распашки земель, а также размещение отвалов размываемых грунтов.</w:t>
      </w:r>
    </w:p>
    <w:p>
      <w:pPr>
        <w:pStyle w:val="BodyText"/>
        <w:spacing w:before="0" w:after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F1115"/>
          <w:spacing w:val="-2"/>
          <w:sz w:val="28"/>
          <w:szCs w:val="28"/>
        </w:rPr>
        <w:tab/>
        <w:t>12. Размещение отвалов грунта, вскрышных пород и производственных материалов в границах водоохранных зон и прибрежных защитных полос вне специально отведённых (оборудованных) мест.</w:t>
      </w:r>
    </w:p>
    <w:p>
      <w:pPr>
        <w:pStyle w:val="BodyText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F1115"/>
          <w:spacing w:val="-2"/>
          <w:sz w:val="28"/>
          <w:szCs w:val="28"/>
        </w:rPr>
        <w:t>13. Самовольное снятие или перемещение плодородного слоя почвы</w:t>
      </w:r>
      <w:r>
        <w:rPr>
          <w:rFonts w:eastAsia="Times New Roman" w:cs="Times New Roman" w:ascii="Times New Roman" w:hAnsi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  <w:t>.».</w:t>
        <w:tab/>
      </w:r>
    </w:p>
    <w:p>
      <w:pPr>
        <w:pStyle w:val="Normal"/>
        <w:spacing w:lineRule="auto" w:line="240" w:before="0" w:after="0"/>
        <w:ind w:firstLine="708"/>
        <w:jc w:val="both"/>
        <w:rPr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2. Внести в Положение о региональном государственном геологическом контроле (надзоре), утвержденное постановлением Кабинета Министров Республики Татарстан от 30.09.2021 № 940 «Об утверждении Положения о региональном государственном геологическом контроле (надзоре)» (с изменениями, внесенными постановлениями Кабинета Министров Республики Татарстан от 30.12.2021 № 1368, от 25.10.2022 № 1137, от 04.10.2023 № 1226, от 07.05.2024 № 311, от 02.09.2024 № 714, от 02.08.2025 № 559, от 13.01.2026 № 5, от 26.03.2026 № 275, от 17.08.2026 № 943) следующие изменения: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четвертый пункта 1.5 дополнить словами «, перечень которых установлен Приложением № 2 к настоящему Положению»;</w:t>
      </w:r>
    </w:p>
    <w:p>
      <w:pPr>
        <w:pStyle w:val="Normal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ab/>
        <w:t>дополнить Положение разделом VIII следующего содержания:</w:t>
      </w:r>
    </w:p>
    <w:p>
      <w:pPr>
        <w:pStyle w:val="Normal"/>
        <w:bidi w:val="0"/>
        <w:spacing w:lineRule="auto" w:line="240" w:before="0" w:after="0"/>
        <w:ind w:hanging="0" w:start="0" w:end="0"/>
        <w:contextualSpacing/>
        <w:jc w:val="both"/>
        <w:rPr>
          <w:rStyle w:val="Strong"/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</w:r>
    </w:p>
    <w:p>
      <w:pPr>
        <w:pStyle w:val="Normal"/>
        <w:bidi w:val="0"/>
        <w:spacing w:lineRule="auto" w:line="240" w:before="0" w:after="0"/>
        <w:ind w:hanging="0" w:start="0" w:end="0"/>
        <w:contextualSpacing/>
        <w:jc w:val="center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 xml:space="preserve">«VIII. Порядок применения индикатора риска нарушения обязательных 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/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требований, не содержащего конкретные значения параметров объектов контроля, 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/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при осуществлении регионального государственного </w:t>
      </w:r>
    </w:p>
    <w:p>
      <w:pPr>
        <w:pStyle w:val="Normal"/>
        <w:bidi w:val="0"/>
        <w:spacing w:lineRule="auto" w:line="240" w:before="0" w:after="0"/>
        <w:ind w:hanging="0" w:start="0" w:end="0"/>
        <w:contextualSpacing/>
        <w:jc w:val="center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 xml:space="preserve">геологического контроля (надзора) </w:t>
      </w:r>
    </w:p>
    <w:p>
      <w:pPr>
        <w:pStyle w:val="Normal"/>
        <w:bidi w:val="0"/>
        <w:spacing w:lineRule="auto" w:line="240" w:before="0" w:after="0"/>
        <w:ind w:hanging="0" w:start="0" w:end="0"/>
        <w:contextualSpacing/>
        <w:jc w:val="center"/>
        <w:rPr>
          <w:rStyle w:val="Strong"/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</w:r>
    </w:p>
    <w:tbl>
      <w:tblPr>
        <w:tblW w:w="10083" w:type="dxa"/>
        <w:jc w:val="start"/>
        <w:tblInd w:w="127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17"/>
        <w:gridCol w:w="2466"/>
        <w:gridCol w:w="2333"/>
        <w:gridCol w:w="1167"/>
        <w:gridCol w:w="3500"/>
      </w:tblGrid>
      <w:tr>
        <w:trPr/>
        <w:tc>
          <w:tcPr>
            <w:tcW w:w="617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user2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466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индикатора риска нарушения обязательных требований</w:t>
            </w:r>
          </w:p>
        </w:tc>
        <w:tc>
          <w:tcPr>
            <w:tcW w:w="3500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fill="auto" w:val="clear"/>
              </w:rPr>
              <w:t xml:space="preserve">Обязательные требования,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F1115"/>
                <w:kern w:val="2"/>
                <w:sz w:val="26"/>
                <w:szCs w:val="26"/>
                <w:shd w:fill="auto" w:val="clear"/>
                <w:lang w:val="ru-RU" w:eastAsia="ru-RU" w:bidi="hi-IN"/>
              </w:rPr>
              <w:t>о нарушении которых с высокой вероятностью свидетельствует индикатор риска</w:t>
            </w:r>
          </w:p>
        </w:tc>
        <w:tc>
          <w:tcPr>
            <w:tcW w:w="3500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Перечень документов,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6"/>
                <w:szCs w:val="26"/>
                <w:shd w:fill="auto" w:val="clear"/>
                <w:lang w:eastAsia="en-US" w:bidi="ar-SA"/>
              </w:rPr>
              <w:t xml:space="preserve">подтверждающих факт отклонения объекта контроля от установленных параметров, и прилагаемых к решению о проведении контрольного (надзорного)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spacing w:val="-2"/>
                <w:kern w:val="0"/>
                <w:sz w:val="26"/>
                <w:szCs w:val="26"/>
                <w:shd w:fill="auto" w:val="clear"/>
                <w:lang w:eastAsia="en-US" w:bidi="ar-SA"/>
              </w:rPr>
              <w:t>мероприятия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user2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466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user2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3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fill="auto" w:val="clear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116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22"/>
              <w:spacing w:before="0" w:after="160"/>
              <w:jc w:val="center"/>
              <w:rPr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spacing w:val="-2"/>
                <w:kern w:val="0"/>
                <w:sz w:val="26"/>
                <w:szCs w:val="26"/>
                <w:shd w:fill="auto" w:val="clear"/>
                <w:lang w:eastAsia="en-US" w:bidi="ar-SA"/>
              </w:rPr>
              <w:t>Структурная единица нормативного правового акта</w:t>
            </w:r>
          </w:p>
        </w:tc>
        <w:tc>
          <w:tcPr>
            <w:tcW w:w="3500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user2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61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user2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8.1</w:t>
            </w:r>
          </w:p>
        </w:tc>
        <w:tc>
          <w:tcPr>
            <w:tcW w:w="246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BodyText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Courier New" w:ascii="Times New Roman" w:hAnsi="Times New Roman"/>
                <w:b w:val="false"/>
                <w:bCs w:val="false"/>
                <w:color w:val="0F1115"/>
                <w:sz w:val="26"/>
                <w:szCs w:val="26"/>
                <w:lang w:eastAsia="ru-RU"/>
              </w:rPr>
              <w:t>Наличие признаков ведения на земельном участке земляных и горных работ, связанных с добычей полезных ископае</w:t>
            </w:r>
            <w:r>
              <w:rPr>
                <w:rFonts w:eastAsia="Times New Roman" w:cs="Courier New" w:ascii="Times New Roman" w:hAnsi="Times New Roman"/>
                <w:b w:val="false"/>
                <w:bCs w:val="false"/>
                <w:color w:val="000000"/>
                <w:sz w:val="26"/>
                <w:szCs w:val="26"/>
                <w:lang w:eastAsia="ru-RU"/>
              </w:rPr>
              <w:t>мых в границах участка недр, предоставленного в пользование контролируемому лицу для осуществления геологического изучения недр, включающего поиски и оценку месторождений полезных ископаемых в соответствии с лицензией на пользование недрами, выявленных на основании информации, содержащейся в обращениях (заявлениях) граждан и организаций, органов государственной власти, органов местного самоуправления, из средств массовой информации и структурных подразделений Министерства, за последние шесть месяцев в отсутствие данных в федеральной государственной информационной системе «Автоматизированная система лицензирования недропользования» о наличии согласованного технического проекта разработки месторождения полезного ископаемого и заключения государственной экспертизы запасов полезных ископаемых и подземных вод, подтверждающих постановку запасов полезных ископаемых и подземных вод на государственный баланс запасов полезных ископаемых</w:t>
            </w:r>
          </w:p>
        </w:tc>
        <w:tc>
          <w:tcPr>
            <w:tcW w:w="233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ind w:hanging="0" w:start="0" w:end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 w:val="false"/>
                <w:color w:val="000000"/>
                <w:sz w:val="26"/>
                <w:szCs w:val="26"/>
              </w:rPr>
              <w:t>Федеральный закон от 21 февраля 1992 года №</w:t>
            </w:r>
            <w:r>
              <w:rPr>
                <w:rFonts w:cs="Times New Roman" w:ascii="Times New Roman" w:hAnsi="Times New Roman"/>
                <w:b w:val="false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  <w:t xml:space="preserve"> 2395-1</w:t>
            </w:r>
            <w:r>
              <w:rPr>
                <w:rFonts w:cs="Times New Roman" w:ascii="Times New Roman" w:hAnsi="Times New Roman"/>
                <w:b w:val="false"/>
                <w:color w:val="000000"/>
                <w:sz w:val="26"/>
                <w:szCs w:val="26"/>
              </w:rPr>
              <w:t xml:space="preserve"> </w:t>
              <w:br/>
              <w:t>«О недрах»</w:t>
            </w:r>
          </w:p>
        </w:tc>
        <w:tc>
          <w:tcPr>
            <w:tcW w:w="116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user2"/>
              <w:spacing w:before="0" w:after="160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pacing w:val="-2"/>
                <w:kern w:val="2"/>
                <w:sz w:val="26"/>
                <w:szCs w:val="26"/>
                <w:lang w:val="ru-RU" w:eastAsia="ru-RU" w:bidi="hi-IN"/>
              </w:rPr>
              <w:t xml:space="preserve">статьи 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6, 23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vertAlign w:val="superscript"/>
              </w:rPr>
              <w:t>2</w:t>
            </w:r>
            <w:r>
              <w:rPr>
                <w:rFonts w:cs="Times New Roman" w:ascii="Times New Roman" w:hAnsi="Times New Roman"/>
                <w:color w:val="000000"/>
                <w:position w:val="0"/>
                <w:sz w:val="26"/>
                <w:sz w:val="26"/>
                <w:szCs w:val="26"/>
                <w:vertAlign w:val="baseline"/>
              </w:rPr>
              <w:t>, 29</w:t>
            </w:r>
          </w:p>
        </w:tc>
        <w:tc>
          <w:tcPr>
            <w:tcW w:w="350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BodyText"/>
              <w:spacing w:lineRule="auto" w:line="240" w:before="0" w:after="0"/>
              <w:ind w:hanging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pacing w:val="-2"/>
                <w:kern w:val="0"/>
                <w:position w:val="0"/>
                <w:sz w:val="26"/>
                <w:sz w:val="26"/>
                <w:szCs w:val="26"/>
                <w:shd w:fill="auto" w:val="clear"/>
                <w:vertAlign w:val="baseline"/>
                <w:lang w:eastAsia="en-US" w:bidi="ar-SA"/>
              </w:rPr>
              <w:t xml:space="preserve">1) </w:t>
            </w:r>
            <w:r>
              <w:rPr>
                <w:rFonts w:ascii="Times New Roman" w:hAnsi="Times New Roman"/>
                <w:i w:val="false"/>
                <w:iCs w:val="false"/>
                <w:color w:val="000000"/>
                <w:position w:val="0"/>
                <w:sz w:val="26"/>
                <w:sz w:val="26"/>
                <w:szCs w:val="26"/>
                <w:vertAlign w:val="baseline"/>
              </w:rPr>
              <w:t>правоустанавливающие и иные документы, подтверждающие</w:t>
            </w:r>
            <w:r>
              <w:rPr>
                <w:rFonts w:ascii="Times New Roman" w:hAnsi="Times New Roman"/>
                <w:i w:val="false"/>
                <w:iCs w:val="false"/>
                <w:color w:val="000000"/>
                <w:position w:val="14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 w:val="false"/>
                <w:iCs w:val="false"/>
                <w:color w:val="000000"/>
                <w:sz w:val="26"/>
                <w:szCs w:val="26"/>
              </w:rPr>
              <w:t>индивидуализирующие признаки проверяемого объекта и его принадлежность контролируемому лицу (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pacing w:val="-5"/>
                <w:kern w:val="0"/>
                <w:sz w:val="26"/>
                <w:szCs w:val="26"/>
                <w:lang w:eastAsia="en-US" w:bidi="ar-SA"/>
              </w:rPr>
              <w:t>выписка из единого государственного реестра юридических лиц или единого реестра индивидуальных предпринимателей</w:t>
            </w:r>
            <w:r>
              <w:rPr>
                <w:rFonts w:ascii="Times New Roman" w:hAnsi="Times New Roman"/>
                <w:i w:val="false"/>
                <w:iCs w:val="false"/>
                <w:color w:val="000000"/>
                <w:sz w:val="26"/>
                <w:szCs w:val="26"/>
              </w:rPr>
              <w:t>);</w:t>
            </w:r>
          </w:p>
          <w:p>
            <w:pPr>
              <w:pStyle w:val="BodyText"/>
              <w:spacing w:lineRule="auto" w:line="240" w:before="0" w:after="0"/>
              <w:ind w:hanging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i w:val="false"/>
                <w:i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2) материалы, подтверждающие отклонения объекта контроля от установленных параметров (информация, содержащаяся в обращениях (заявлениях) граждан и организаций, органов государственной власти, органов местного самоуправления, из средств массовой информации и структурных подразделений Министерства, данные, полученные из Федеральной государственной информационной системы «Автоматизированная система лицензирования недропользования»);</w:t>
            </w:r>
          </w:p>
          <w:p>
            <w:pPr>
              <w:pStyle w:val="BodyText"/>
              <w:spacing w:lineRule="auto" w:line="240" w:before="0" w:after="0"/>
              <w:ind w:hanging="0"/>
              <w:contextualSpacing/>
              <w:jc w:val="both"/>
              <w:rPr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position w:val="0"/>
                <w:sz w:val="26"/>
                <w:sz w:val="26"/>
                <w:szCs w:val="26"/>
                <w:vertAlign w:val="baseline"/>
              </w:rPr>
              <w:t>3) документы, подтверждающие проведение контрольных (надзорных)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position w:val="14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position w:val="0"/>
                <w:sz w:val="26"/>
                <w:sz w:val="26"/>
                <w:szCs w:val="26"/>
                <w:vertAlign w:val="baseline"/>
              </w:rPr>
              <w:t>мероприятий без взаимодействия и (или) профилактических мероприятий,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-12"/>
                <w:position w:val="0"/>
                <w:sz w:val="26"/>
                <w:sz w:val="26"/>
                <w:szCs w:val="26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position w:val="0"/>
                <w:sz w:val="26"/>
                <w:sz w:val="26"/>
                <w:szCs w:val="26"/>
                <w:vertAlign w:val="baseline"/>
              </w:rPr>
              <w:t>в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-7"/>
                <w:position w:val="0"/>
                <w:sz w:val="26"/>
                <w:sz w:val="26"/>
                <w:szCs w:val="26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position w:val="0"/>
                <w:sz w:val="26"/>
                <w:sz w:val="26"/>
                <w:szCs w:val="26"/>
                <w:vertAlign w:val="baseline"/>
              </w:rPr>
              <w:t>случае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-7"/>
                <w:position w:val="0"/>
                <w:sz w:val="26"/>
                <w:sz w:val="26"/>
                <w:szCs w:val="26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sz w:val="26"/>
                <w:szCs w:val="26"/>
              </w:rPr>
              <w:t>если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-8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sz w:val="26"/>
                <w:szCs w:val="26"/>
              </w:rPr>
              <w:t>такие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-12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sz w:val="26"/>
                <w:szCs w:val="26"/>
              </w:rPr>
              <w:t>мероприятия проводились (з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iCs w:val="false"/>
                <w:color w:val="000000"/>
                <w:spacing w:val="2"/>
                <w:kern w:val="0"/>
                <w:sz w:val="26"/>
                <w:szCs w:val="26"/>
                <w:lang w:eastAsia="en-US" w:bidi="ar-SA"/>
              </w:rPr>
              <w:t xml:space="preserve">адание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spacing w:val="2"/>
                <w:sz w:val="26"/>
                <w:szCs w:val="26"/>
              </w:rPr>
              <w:t>главного государственного инспектора Республики Татарстан, его заместителей);</w:t>
            </w:r>
          </w:p>
          <w:p>
            <w:pPr>
              <w:pStyle w:val="BodyText"/>
              <w:spacing w:lineRule="auto" w:line="240" w:before="0" w:after="0"/>
              <w:ind w:hanging="0"/>
              <w:jc w:val="both"/>
              <w:rPr>
                <w:rStyle w:val="Strong"/>
                <w:rFonts w:ascii="Times New Roman" w:hAnsi="Times New Roman" w:eastAsia="Calibri" w:cs="Times New Roman"/>
                <w:b w:val="false"/>
                <w:bCs w:val="false"/>
                <w:i w:val="false"/>
                <w:i w:val="false"/>
                <w:iCs w:val="false"/>
                <w:color w:val="000000"/>
                <w:spacing w:val="-10"/>
                <w:kern w:val="0"/>
                <w:position w:val="0"/>
                <w:sz w:val="26"/>
                <w:sz w:val="26"/>
                <w:szCs w:val="26"/>
                <w:vertAlign w:val="baseline"/>
                <w:lang w:val="ru-RU" w:eastAsia="en-US" w:bidi="ar-SA"/>
              </w:rPr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pacing w:val="-10"/>
                <w:kern w:val="0"/>
                <w:position w:val="0"/>
                <w:sz w:val="26"/>
                <w:sz w:val="26"/>
                <w:szCs w:val="26"/>
                <w:vertAlign w:val="baseline"/>
                <w:lang w:val="ru-RU" w:eastAsia="en-US" w:bidi="ar-SA"/>
              </w:rPr>
              <w:t>4) представление об устранении нарушений закона</w:t>
            </w:r>
          </w:p>
        </w:tc>
      </w:tr>
    </w:tbl>
    <w:p>
      <w:pPr>
        <w:pStyle w:val="Normal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2"/>
          <w:kern w:val="0"/>
          <w:sz w:val="28"/>
          <w:szCs w:val="28"/>
          <w:lang w:eastAsia="en-US" w:bidi="ar-SA"/>
        </w:rPr>
        <w:t xml:space="preserve">                                                                                                                                                 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2"/>
          <w:kern w:val="0"/>
          <w:sz w:val="28"/>
          <w:szCs w:val="28"/>
          <w:lang w:eastAsia="en-US" w:bidi="ar-SA"/>
        </w:rPr>
        <w:t>»;</w:t>
      </w:r>
    </w:p>
    <w:p>
      <w:pPr>
        <w:pStyle w:val="Normal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2"/>
          <w:kern w:val="0"/>
          <w:sz w:val="28"/>
          <w:szCs w:val="28"/>
          <w:lang w:eastAsia="en-US" w:bidi="ar-SA"/>
        </w:rPr>
        <w:tab/>
        <w:t>в Приложении к указанному Положению: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2"/>
          <w:kern w:val="0"/>
          <w:sz w:val="28"/>
          <w:szCs w:val="28"/>
          <w:lang w:eastAsia="en-US" w:bidi="ar-SA"/>
        </w:rPr>
        <w:tab/>
        <w:t xml:space="preserve">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2"/>
          <w:kern w:val="0"/>
          <w:sz w:val="28"/>
          <w:szCs w:val="28"/>
          <w:shd w:fill="auto" w:val="clear"/>
          <w:lang w:eastAsia="en-US" w:bidi="ar-SA"/>
        </w:rPr>
        <w:t>нумерационном заголовке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2"/>
          <w:kern w:val="0"/>
          <w:sz w:val="28"/>
          <w:szCs w:val="28"/>
          <w:lang w:eastAsia="en-US" w:bidi="ar-SA"/>
        </w:rPr>
        <w:t xml:space="preserve"> слова «Приложение к» заменить словами «Приложение № 1 к»; 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ab/>
        <w:t>дополнить Положение Приложением № 2 в следующей редакции: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>
          <w:rFonts w:ascii="Times New Roman" w:hAnsi="Times New Roman" w:eastAsia="Times New Roman" w:cs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/>
      </w:pP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 xml:space="preserve">                                                                                                             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olor w:val="0F1115"/>
          <w:spacing w:val="-10"/>
          <w:kern w:val="0"/>
          <w:sz w:val="28"/>
          <w:szCs w:val="28"/>
          <w:lang w:eastAsia="en-US" w:bidi="ar-SA"/>
        </w:rPr>
        <w:t>Приложение № 2  к Положению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color w:val="0F1115"/>
          <w:spacing w:val="-10"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cs="Times New Roman" w:ascii="Times New Roman" w:hAnsi="Times New Roman"/>
          <w:b w:val="false"/>
          <w:color w:val="0F1115"/>
          <w:spacing w:val="-10"/>
          <w:sz w:val="28"/>
          <w:szCs w:val="28"/>
        </w:rPr>
        <w:t xml:space="preserve">о региональном государственном </w:t>
      </w:r>
    </w:p>
    <w:p>
      <w:pPr>
        <w:pStyle w:val="BodyText"/>
        <w:spacing w:lineRule="atLeast" w:line="285" w:before="0" w:after="283"/>
        <w:ind w:hanging="0" w:start="0" w:end="0"/>
        <w:contextualSpacing/>
        <w:jc w:val="end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color w:val="0F1115"/>
          <w:spacing w:val="-10"/>
          <w:sz w:val="28"/>
          <w:szCs w:val="28"/>
        </w:rPr>
        <w:t xml:space="preserve">геологическом контроле (надзоре) </w:t>
      </w:r>
    </w:p>
    <w:p>
      <w:pPr>
        <w:pStyle w:val="BodyText"/>
        <w:spacing w:lineRule="atLeast" w:line="285" w:before="0" w:after="283"/>
        <w:ind w:hanging="0" w:start="0" w:end="0"/>
        <w:contextualSpacing/>
        <w:jc w:val="end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color w:val="0F1115"/>
          <w:spacing w:val="-10"/>
          <w:sz w:val="28"/>
          <w:szCs w:val="28"/>
        </w:rPr>
        <w:t xml:space="preserve">на территории Республики Татарстан 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>
          <w:rFonts w:ascii="Times New Roman" w:hAnsi="Times New Roman" w:eastAsia="Times New Roman" w:cs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>
          <w:rFonts w:ascii="Times New Roman" w:hAnsi="Times New Roman" w:eastAsia="Times New Roman" w:cs="Times New Roman"/>
          <w:b w:val="false"/>
          <w:color w:val="0F1115"/>
          <w:spacing w:val="-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  <w:lang w:eastAsia="ru-RU"/>
        </w:rPr>
        <w:t>Перечень признаков нарушений обязательных требований, соблюдение которых является предметом регионального государственного геологического контроля (надзора),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center"/>
        <w:rPr>
          <w:rFonts w:ascii="Times New Roman" w:hAnsi="Times New Roman" w:eastAsia="Times New Roman" w:cs="Times New Roman"/>
          <w:b w:val="false"/>
          <w:color w:val="0F1115"/>
          <w:spacing w:val="-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  <w:lang w:eastAsia="ru-RU"/>
        </w:rPr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F1115"/>
          <w:spacing w:val="-2"/>
          <w:kern w:val="0"/>
          <w:sz w:val="28"/>
          <w:szCs w:val="28"/>
          <w:lang w:eastAsia="ru-RU" w:bidi="ar-SA"/>
        </w:rPr>
        <w:tab/>
        <w:t>1</w:t>
      </w: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  <w:lang w:eastAsia="ru-RU"/>
        </w:rPr>
        <w:t>. Нарушение условий, предусмотренных лицензией на пользование недрами местного значения, и (или) требований утвержденного в установленном порядке технического проекта и (или) иной проектной документации на выполнение работ, связанных с пользованием недрами, а также планов и схем развития горных работ.».</w:t>
      </w:r>
    </w:p>
    <w:p>
      <w:pPr>
        <w:pStyle w:val="BodyText"/>
        <w:bidi w:val="0"/>
        <w:spacing w:lineRule="auto" w:line="240" w:before="0" w:after="0"/>
        <w:ind w:hanging="0" w:start="0" w:end="0"/>
        <w:contextualSpacing/>
        <w:jc w:val="both"/>
        <w:rPr>
          <w:rFonts w:ascii="Times New Roman" w:hAnsi="Times New Roman" w:eastAsia="Times New Roman" w:cs="Times New Roman"/>
          <w:b w:val="false"/>
          <w:color w:val="0F1115"/>
          <w:spacing w:val="-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color w:val="0F1115"/>
          <w:spacing w:val="-2"/>
          <w:sz w:val="28"/>
          <w:szCs w:val="28"/>
          <w:lang w:eastAsia="ru-RU"/>
        </w:rPr>
      </w:r>
    </w:p>
    <w:p>
      <w:pPr>
        <w:pStyle w:val="ConsPlusNormal"/>
        <w:suppressAutoHyphens w:val="true"/>
        <w:spacing w:before="0" w:after="0"/>
        <w:ind w:firstLine="540"/>
        <w:jc w:val="both"/>
        <w:rPr>
          <w:rFonts w:ascii="Consolas" w:hAnsi="Consolas" w:eastAsia="Times New Roman" w:cs="Courier New"/>
          <w:color w:val="0F1115"/>
          <w:sz w:val="28"/>
          <w:szCs w:val="28"/>
          <w:lang w:eastAsia="ru-RU"/>
        </w:rPr>
      </w:pPr>
      <w:r>
        <w:rPr>
          <w:rFonts w:eastAsia="Times New Roman" w:cs="Courier New" w:ascii="Consolas" w:hAnsi="Consolas"/>
          <w:color w:val="0F1115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Премьер-министр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fill="auto" w:val="clear"/>
        </w:rPr>
        <w:t>Республики Татарстан                                                                                   А.В.Песошин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onsola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fldChar w:fldCharType="begin"/>
    </w:r>
    <w:r>
      <w:rPr>
        <w:sz w:val="24"/>
        <w:szCs w:val="24"/>
        <w:rFonts w:cs="Times New Roman" w:ascii="Times New Roman" w:hAnsi="Times New Roman"/>
      </w:rPr>
      <w:instrText xml:space="preserve"> PAGE </w:instrText>
    </w:r>
    <w:r>
      <w:rPr>
        <w:sz w:val="24"/>
        <w:szCs w:val="24"/>
        <w:rFonts w:cs="Times New Roman" w:ascii="Times New Roman" w:hAnsi="Times New Roman"/>
      </w:rPr>
      <w:fldChar w:fldCharType="separate"/>
    </w:r>
    <w:r>
      <w:rPr>
        <w:sz w:val="24"/>
        <w:szCs w:val="24"/>
        <w:rFonts w:cs="Times New Roman" w:ascii="Times New Roman" w:hAnsi="Times New Roman"/>
      </w:rPr>
      <w:t>7</w:t>
    </w:r>
    <w:r>
      <w:rPr>
        <w:sz w:val="24"/>
        <w:szCs w:val="24"/>
        <w:rFonts w:cs="Times New Roman"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Style15">
    <w:name w:val="Верхний колонтитул Знак"/>
    <w:basedOn w:val="DefaultParagraphFont"/>
    <w:qFormat/>
    <w:rPr/>
  </w:style>
  <w:style w:type="character" w:styleId="Style16">
    <w:name w:val="Нижний колонтитул Знак"/>
    <w:basedOn w:val="DefaultParagraphFont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Style17">
    <w:name w:val="Основной шрифт абзаца"/>
    <w:qFormat/>
    <w:rPr/>
  </w:style>
  <w:style w:type="character" w:styleId="WW8Num2z0">
    <w:name w:val="WW8Num2z0"/>
    <w:qFormat/>
    <w:rPr>
      <w:b w:val="false"/>
      <w:sz w:val="22"/>
      <w:szCs w:val="22"/>
    </w:rPr>
  </w:style>
  <w:style w:type="character" w:styleId="WW8Num1z0">
    <w:name w:val="WW8Num1z0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qFormat/>
    <w:pPr>
      <w:spacing w:before="0" w:after="160"/>
      <w:ind w:hanging="0" w:start="720"/>
      <w:contextualSpacing/>
    </w:pPr>
    <w:rPr/>
  </w:style>
  <w:style w:type="paragraph" w:styleId="BalloonText">
    <w:name w:val="Balloon Text"/>
    <w:basedOn w:val="Normal"/>
    <w:link w:val="Style14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Times New Roman" w:hAnsi="Times New Roman" w:eastAsia="Tahoma" w:cs="Times New Roman"/>
      <w:color w:val="auto"/>
      <w:kern w:val="2"/>
      <w:sz w:val="24"/>
      <w:szCs w:val="24"/>
      <w:lang w:val="ru-RU" w:eastAsia="zh-CN" w:bidi="hi-IN"/>
    </w:rPr>
  </w:style>
  <w:style w:type="paragraph" w:styleId="TableParagraph">
    <w:name w:val="Table Paragraph"/>
    <w:basedOn w:val="Normal"/>
    <w:qFormat/>
    <w:pPr/>
    <w:rPr/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numbering" w:styleId="user4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6095</TotalTime>
  <Application>LibreOffice/25.2.6.2$Linux_X86_64 LibreOffice_project/520$Build-2</Application>
  <AppVersion>15.0000</AppVersion>
  <Pages>7</Pages>
  <Words>1292</Words>
  <Characters>9598</Characters>
  <CharactersWithSpaces>11684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309-User1</dc:creator>
  <dc:description/>
  <dc:language>ru-RU</dc:language>
  <cp:lastModifiedBy/>
  <cp:lastPrinted>2026-09-17T09:17:12Z</cp:lastPrinted>
  <dcterms:modified xsi:type="dcterms:W3CDTF">2026-09-17T09:25:24Z</dcterms:modified>
  <cp:revision>175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