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Ind w:w="108" w:type="dxa"/>
        <w:tblLook w:val="01E0" w:firstRow="1" w:lastRow="1" w:firstColumn="1" w:lastColumn="1" w:noHBand="0" w:noVBand="0"/>
      </w:tblPr>
      <w:tblGrid>
        <w:gridCol w:w="4111"/>
        <w:gridCol w:w="1560"/>
        <w:gridCol w:w="4110"/>
      </w:tblGrid>
      <w:tr>
        <w:trPr>
          <w:trHeight w:val="1430"/>
        </w:trPr>
        <w:tc>
          <w:tcPr>
            <w:tcW w:w="4111" w:type="dxa"/>
          </w:tcPr>
          <w:p>
            <w:pPr>
              <w:widowControl/>
              <w:autoSpaceDE/>
              <w:autoSpaceDN/>
              <w:adjustRightInd/>
              <w:ind w:right="-187" w:firstLine="0"/>
              <w:jc w:val="center"/>
              <w:rPr>
                <w:rFonts w:ascii="Times New Roman" w:hAnsi="Times New Roman" w:cs="Times New Roman"/>
                <w:sz w:val="28"/>
                <w:szCs w:val="28"/>
                <w:lang w:val="tt-RU"/>
              </w:rPr>
            </w:pPr>
            <w:r>
              <w:rPr>
                <w:rFonts w:ascii="Times New Roman" w:hAnsi="Times New Roman" w:cs="Times New Roman"/>
                <w:sz w:val="28"/>
                <w:szCs w:val="28"/>
                <w:lang w:val="tt-RU"/>
              </w:rPr>
              <w:t>ИНСПЕКЦИЯ</w:t>
            </w:r>
          </w:p>
          <w:p>
            <w:pPr>
              <w:widowControl/>
              <w:autoSpaceDE/>
              <w:autoSpaceDN/>
              <w:adjustRightInd/>
              <w:ind w:right="-187" w:firstLine="0"/>
              <w:jc w:val="center"/>
              <w:rPr>
                <w:rFonts w:ascii="Times New Roman" w:hAnsi="Times New Roman" w:cs="Times New Roman"/>
                <w:sz w:val="28"/>
                <w:szCs w:val="28"/>
              </w:rPr>
            </w:pPr>
            <w:r>
              <w:rPr>
                <w:rFonts w:ascii="Times New Roman" w:hAnsi="Times New Roman" w:cs="Times New Roman"/>
                <w:sz w:val="28"/>
                <w:szCs w:val="28"/>
                <w:lang w:val="tt-RU"/>
              </w:rPr>
              <w:t>ГОСУДАРСТВЕННОГО  СТРОИТЕЛЬНОГО НАДЗОРА</w:t>
            </w:r>
            <w:r>
              <w:rPr>
                <w:rFonts w:ascii="Times New Roman" w:hAnsi="Times New Roman" w:cs="Times New Roman"/>
                <w:sz w:val="28"/>
                <w:szCs w:val="28"/>
              </w:rPr>
              <w:t xml:space="preserve"> РЕСПУБЛИКИ ТАТАРСТАН</w:t>
            </w:r>
          </w:p>
          <w:p>
            <w:pPr>
              <w:widowControl/>
              <w:autoSpaceDE/>
              <w:autoSpaceDN/>
              <w:adjustRightInd/>
              <w:spacing w:line="216" w:lineRule="auto"/>
              <w:ind w:right="-186" w:firstLine="0"/>
              <w:jc w:val="center"/>
              <w:rPr>
                <w:rFonts w:ascii="Times New Roman" w:hAnsi="Times New Roman" w:cs="Times New Roman"/>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-55245</wp:posOffset>
                      </wp:positionH>
                      <wp:positionV relativeFrom="paragraph">
                        <wp:posOffset>34290</wp:posOffset>
                      </wp:positionV>
                      <wp:extent cx="6150610" cy="889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2.7pt" to="479.9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" strokeweight="1.5pt"/>
                  </w:pict>
                </mc:Fallback>
              </mc:AlternateContent>
            </w:r>
          </w:p>
        </w:tc>
        <w:tc>
          <w:tcPr>
            <w:tcW w:w="1560" w:type="dxa"/>
          </w:tcPr>
          <w:p>
            <w:pPr>
              <w:widowControl/>
              <w:autoSpaceDE/>
              <w:autoSpaceDN/>
              <w:adjustRightInd/>
              <w:ind w:left="-108" w:firstLine="0"/>
              <w:jc w:val="left"/>
              <w:rPr>
                <w:rFonts w:ascii="Times New Roman" w:hAnsi="Times New Roman" w:cs="Times New Roman"/>
                <w:b/>
                <w:sz w:val="28"/>
                <w:szCs w:val="28"/>
                <w:lang w:val="tt-RU"/>
              </w:rPr>
            </w:pPr>
            <w:r>
              <w:rPr>
                <w:noProof/>
              </w:rPr>
              <w:drawing>
                <wp:anchor distT="0" distB="0" distL="114300" distR="114300" simplePos="0" relativeHeight="251660288" behindDoc="0" locked="0" layoutInCell="1" allowOverlap="1">
                  <wp:simplePos x="0" y="0"/>
                  <wp:positionH relativeFrom="page">
                    <wp:posOffset>182245</wp:posOffset>
                  </wp:positionH>
                  <wp:positionV relativeFrom="page">
                    <wp:posOffset>635</wp:posOffset>
                  </wp:positionV>
                  <wp:extent cx="723900" cy="7239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pPr>
              <w:widowControl/>
              <w:autoSpaceDE/>
              <w:autoSpaceDN/>
              <w:adjustRightInd/>
              <w:ind w:firstLine="0"/>
              <w:jc w:val="left"/>
              <w:rPr>
                <w:rFonts w:ascii="Times New Roman" w:hAnsi="Times New Roman" w:cs="Times New Roman"/>
                <w:b/>
                <w:sz w:val="28"/>
                <w:szCs w:val="28"/>
                <w:lang w:val="tt-RU"/>
              </w:rPr>
            </w:pPr>
          </w:p>
        </w:tc>
        <w:tc>
          <w:tcPr>
            <w:tcW w:w="4110" w:type="dxa"/>
          </w:tcPr>
          <w:p>
            <w:pPr>
              <w:widowControl/>
              <w:autoSpaceDE/>
              <w:autoSpaceDN/>
              <w:adjustRightInd/>
              <w:ind w:firstLine="0"/>
              <w:jc w:val="center"/>
              <w:rPr>
                <w:rFonts w:ascii="Times New Roman" w:hAnsi="Times New Roman" w:cs="Times New Roman"/>
                <w:spacing w:val="-20"/>
                <w:sz w:val="28"/>
                <w:szCs w:val="28"/>
                <w:lang w:val="tt-RU"/>
              </w:rPr>
            </w:pPr>
            <w:r>
              <w:rPr>
                <w:rFonts w:ascii="Times New Roman" w:hAnsi="Times New Roman" w:cs="Times New Roman"/>
                <w:sz w:val="28"/>
                <w:szCs w:val="28"/>
                <w:lang w:val="tt-RU"/>
              </w:rPr>
              <w:t xml:space="preserve"> </w:t>
            </w:r>
            <w:r>
              <w:rPr>
                <w:rFonts w:ascii="Times New Roman" w:hAnsi="Times New Roman" w:cs="Times New Roman"/>
                <w:spacing w:val="-20"/>
                <w:sz w:val="28"/>
                <w:szCs w:val="28"/>
                <w:lang w:val="tt-RU"/>
              </w:rPr>
              <w:t>ТАТАРСТАН  РЕСПУБЛИКАСЫНЫҢ</w:t>
            </w:r>
          </w:p>
          <w:p>
            <w:pPr>
              <w:widowControl/>
              <w:autoSpaceDE/>
              <w:autoSpaceDN/>
              <w:adjustRightInd/>
              <w:ind w:firstLine="0"/>
              <w:jc w:val="center"/>
              <w:rPr>
                <w:rFonts w:ascii="Times New Roman" w:hAnsi="Times New Roman" w:cs="Times New Roman"/>
                <w:spacing w:val="-20"/>
                <w:sz w:val="28"/>
                <w:szCs w:val="28"/>
                <w:lang w:val="tt-RU"/>
              </w:rPr>
            </w:pPr>
            <w:r>
              <w:rPr>
                <w:rFonts w:ascii="Times New Roman" w:hAnsi="Times New Roman" w:cs="Times New Roman"/>
                <w:spacing w:val="-20"/>
                <w:sz w:val="28"/>
                <w:szCs w:val="28"/>
                <w:lang w:val="tt-RU"/>
              </w:rPr>
              <w:t xml:space="preserve">ДӘҮЛӘТ ТӨЗЕЛЕШ КҮЗӘТЧЕЛЕГЕ ИНСПЕКЦИЯСЕ </w:t>
            </w:r>
          </w:p>
          <w:p>
            <w:pPr>
              <w:widowControl/>
              <w:autoSpaceDE/>
              <w:autoSpaceDN/>
              <w:adjustRightInd/>
              <w:ind w:firstLine="0"/>
              <w:jc w:val="center"/>
              <w:rPr>
                <w:rFonts w:ascii="Times New Roman" w:hAnsi="Times New Roman" w:cs="Times New Roman"/>
                <w:b/>
                <w:spacing w:val="-6"/>
                <w:sz w:val="28"/>
                <w:szCs w:val="28"/>
                <w:lang w:val="tt-RU"/>
              </w:rPr>
            </w:pPr>
          </w:p>
        </w:tc>
      </w:tr>
      <w:tr>
        <w:trPr>
          <w:trHeight w:val="557"/>
        </w:trPr>
        <w:tc>
          <w:tcPr>
            <w:tcW w:w="9781" w:type="dxa"/>
            <w:gridSpan w:val="3"/>
          </w:tcPr>
          <w:tbl>
            <w:tblPr>
              <w:tblW w:w="0" w:type="auto"/>
              <w:tblLook w:val="04A0" w:firstRow="1" w:lastRow="0" w:firstColumn="1" w:lastColumn="0" w:noHBand="0" w:noVBand="1"/>
            </w:tblPr>
            <w:tblGrid>
              <w:gridCol w:w="3085"/>
              <w:gridCol w:w="3186"/>
              <w:gridCol w:w="2835"/>
            </w:tblGrid>
            <w:tr>
              <w:tc>
                <w:tcPr>
                  <w:tcW w:w="3085" w:type="dxa"/>
                </w:tcPr>
                <w:p>
                  <w:pPr>
                    <w:widowControl/>
                    <w:autoSpaceDE/>
                    <w:autoSpaceDN/>
                    <w:adjustRightInd/>
                    <w:spacing w:line="360" w:lineRule="auto"/>
                    <w:ind w:firstLine="0"/>
                    <w:jc w:val="center"/>
                    <w:rPr>
                      <w:rFonts w:ascii="Times New Roman" w:hAnsi="Times New Roman" w:cs="Times New Roman"/>
                      <w:sz w:val="28"/>
                      <w:szCs w:val="28"/>
                    </w:rPr>
                  </w:pPr>
                  <w:r>
                    <w:rPr>
                      <w:rFonts w:ascii="Times New Roman" w:hAnsi="Times New Roman" w:cs="Times New Roman"/>
                      <w:sz w:val="28"/>
                      <w:szCs w:val="28"/>
                    </w:rPr>
                    <w:t>ПРИКАЗ</w:t>
                  </w:r>
                </w:p>
                <w:p>
                  <w:pPr>
                    <w:widowControl/>
                    <w:autoSpaceDE/>
                    <w:autoSpaceDN/>
                    <w:adjustRightInd/>
                    <w:spacing w:line="360" w:lineRule="auto"/>
                    <w:ind w:firstLine="255"/>
                    <w:jc w:val="center"/>
                    <w:rPr>
                      <w:rFonts w:ascii="Times New Roman" w:hAnsi="Times New Roman" w:cs="Times New Roman"/>
                      <w:sz w:val="28"/>
                      <w:szCs w:val="28"/>
                    </w:rPr>
                  </w:pPr>
                  <w:r>
                    <w:rPr>
                      <w:rFonts w:ascii="Times New Roman" w:hAnsi="Times New Roman" w:cs="Times New Roman"/>
                      <w:sz w:val="28"/>
                      <w:szCs w:val="28"/>
                    </w:rPr>
                    <w:t>_________</w:t>
                  </w:r>
                </w:p>
              </w:tc>
              <w:tc>
                <w:tcPr>
                  <w:tcW w:w="3186" w:type="dxa"/>
                </w:tcPr>
                <w:p>
                  <w:pPr>
                    <w:widowControl/>
                    <w:autoSpaceDE/>
                    <w:autoSpaceDN/>
                    <w:adjustRightInd/>
                    <w:spacing w:line="360" w:lineRule="auto"/>
                    <w:ind w:firstLine="0"/>
                    <w:jc w:val="center"/>
                    <w:rPr>
                      <w:rFonts w:ascii="Times New Roman" w:hAnsi="Times New Roman" w:cs="Times New Roman"/>
                      <w:sz w:val="28"/>
                      <w:szCs w:val="28"/>
                    </w:rPr>
                  </w:pPr>
                </w:p>
                <w:p>
                  <w:pPr>
                    <w:widowControl/>
                    <w:autoSpaceDE/>
                    <w:autoSpaceDN/>
                    <w:adjustRightInd/>
                    <w:spacing w:line="360" w:lineRule="auto"/>
                    <w:ind w:firstLine="0"/>
                    <w:jc w:val="center"/>
                    <w:rPr>
                      <w:rFonts w:ascii="Times New Roman" w:hAnsi="Times New Roman" w:cs="Times New Roman"/>
                      <w:sz w:val="28"/>
                      <w:szCs w:val="28"/>
                    </w:rPr>
                  </w:pPr>
                  <w:r>
                    <w:rPr>
                      <w:rFonts w:ascii="Times New Roman" w:hAnsi="Times New Roman" w:cs="Times New Roman"/>
                      <w:sz w:val="28"/>
                      <w:szCs w:val="28"/>
                    </w:rPr>
                    <w:t>г. Казань</w:t>
                  </w:r>
                </w:p>
              </w:tc>
              <w:tc>
                <w:tcPr>
                  <w:tcW w:w="2835" w:type="dxa"/>
                </w:tcPr>
                <w:p>
                  <w:pPr>
                    <w:widowControl/>
                    <w:autoSpaceDE/>
                    <w:autoSpaceDN/>
                    <w:adjustRightInd/>
                    <w:spacing w:line="360" w:lineRule="auto"/>
                    <w:ind w:firstLine="0"/>
                    <w:jc w:val="center"/>
                    <w:rPr>
                      <w:rFonts w:ascii="Times New Roman" w:hAnsi="Times New Roman" w:cs="Times New Roman"/>
                      <w:sz w:val="28"/>
                      <w:szCs w:val="28"/>
                    </w:rPr>
                  </w:pPr>
                  <w:r>
                    <w:rPr>
                      <w:rFonts w:ascii="Times New Roman" w:hAnsi="Times New Roman" w:cs="Times New Roman"/>
                      <w:sz w:val="28"/>
                      <w:szCs w:val="28"/>
                    </w:rPr>
                    <w:t>БОЕРЫК</w:t>
                  </w:r>
                </w:p>
                <w:p>
                  <w:pPr>
                    <w:widowControl/>
                    <w:autoSpaceDE/>
                    <w:autoSpaceDN/>
                    <w:adjustRightInd/>
                    <w:spacing w:line="360" w:lineRule="auto"/>
                    <w:ind w:firstLine="0"/>
                    <w:jc w:val="center"/>
                    <w:rPr>
                      <w:rFonts w:ascii="Times New Roman" w:hAnsi="Times New Roman" w:cs="Times New Roman"/>
                      <w:sz w:val="28"/>
                      <w:szCs w:val="28"/>
                    </w:rPr>
                  </w:pPr>
                  <w:r>
                    <w:rPr>
                      <w:rFonts w:ascii="Times New Roman" w:hAnsi="Times New Roman" w:cs="Times New Roman"/>
                      <w:sz w:val="28"/>
                      <w:szCs w:val="28"/>
                    </w:rPr>
                    <w:t>№ _______</w:t>
                  </w:r>
                </w:p>
              </w:tc>
            </w:tr>
          </w:tbl>
          <w:p>
            <w:pPr>
              <w:widowControl/>
              <w:autoSpaceDE/>
              <w:autoSpaceDN/>
              <w:adjustRightInd/>
              <w:ind w:firstLine="0"/>
              <w:jc w:val="center"/>
              <w:rPr>
                <w:rFonts w:ascii="Times New Roman" w:hAnsi="Times New Roman" w:cs="Times New Roman"/>
                <w:sz w:val="28"/>
                <w:szCs w:val="28"/>
              </w:rPr>
            </w:pPr>
          </w:p>
        </w:tc>
      </w:tr>
    </w:tbl>
    <w:p>
      <w:pPr>
        <w:widowControl/>
        <w:tabs>
          <w:tab w:val="left" w:pos="1820"/>
        </w:tabs>
        <w:autoSpaceDE/>
        <w:autoSpaceDN/>
        <w:adjustRightInd/>
        <w:ind w:firstLine="0"/>
        <w:jc w:val="left"/>
        <w:rPr>
          <w:rFonts w:ascii="Times New Roman" w:hAnsi="Times New Roman" w:cs="Times New Roman"/>
          <w:b/>
          <w:sz w:val="28"/>
          <w:szCs w:val="28"/>
          <w:lang w:val="tt-RU"/>
        </w:rPr>
      </w:pPr>
      <w:r>
        <w:rPr>
          <w:rFonts w:ascii="Times New Roman" w:hAnsi="Times New Roman" w:cs="Times New Roman"/>
          <w:b/>
          <w:sz w:val="28"/>
          <w:szCs w:val="28"/>
          <w:lang w:val="tt-RU"/>
        </w:rPr>
        <w:tab/>
      </w:r>
      <w:r>
        <w:rPr>
          <w:rFonts w:ascii="Times New Roman" w:hAnsi="Times New Roman" w:cs="Times New Roman"/>
          <w:b/>
          <w:sz w:val="28"/>
          <w:szCs w:val="28"/>
          <w:lang w:val="tt-RU"/>
        </w:rPr>
        <w:tab/>
      </w:r>
      <w:r>
        <w:rPr>
          <w:rFonts w:ascii="Times New Roman" w:hAnsi="Times New Roman" w:cs="Times New Roman"/>
          <w:b/>
          <w:sz w:val="28"/>
          <w:szCs w:val="28"/>
          <w:lang w:val="tt-RU"/>
        </w:rPr>
        <w:tab/>
      </w:r>
    </w:p>
    <w:p>
      <w:pPr>
        <w:widowControl/>
        <w:tabs>
          <w:tab w:val="left" w:pos="4678"/>
        </w:tabs>
        <w:autoSpaceDE/>
        <w:autoSpaceDN/>
        <w:adjustRightInd/>
        <w:ind w:right="5185" w:firstLine="0"/>
        <w:rPr>
          <w:rFonts w:ascii="Times New Roman" w:hAnsi="Times New Roman" w:cs="Times New Roman"/>
          <w:bCs/>
          <w:color w:val="000000" w:themeColor="text1"/>
          <w:kern w:val="32"/>
          <w:sz w:val="28"/>
          <w:szCs w:val="28"/>
          <w:lang w:eastAsia="en-US"/>
        </w:rPr>
      </w:pPr>
      <w:r>
        <w:rPr>
          <w:rFonts w:ascii="Times New Roman" w:hAnsi="Times New Roman" w:cs="Times New Roman"/>
          <w:bCs/>
          <w:color w:val="000000" w:themeColor="text1"/>
          <w:kern w:val="32"/>
          <w:sz w:val="28"/>
          <w:szCs w:val="28"/>
          <w:lang w:eastAsia="en-US"/>
        </w:rPr>
        <w:t xml:space="preserve">О внесении изменений в </w:t>
      </w:r>
      <w:hyperlink r:id="rId9" w:history="1">
        <w:r>
          <w:rPr>
            <w:rStyle w:val="af7"/>
            <w:rFonts w:ascii="Times New Roman" w:hAnsi="Times New Roman" w:cs="Times New Roman"/>
            <w:bCs/>
            <w:color w:val="000000" w:themeColor="text1"/>
            <w:kern w:val="32"/>
            <w:sz w:val="28"/>
            <w:szCs w:val="28"/>
            <w:u w:val="none"/>
            <w:lang w:eastAsia="en-US"/>
          </w:rPr>
          <w:t>Положение</w:t>
        </w:r>
      </w:hyperlink>
      <w:r>
        <w:rPr>
          <w:rFonts w:ascii="Times New Roman" w:hAnsi="Times New Roman" w:cs="Times New Roman"/>
          <w:bCs/>
          <w:color w:val="000000" w:themeColor="text1"/>
          <w:kern w:val="32"/>
          <w:sz w:val="28"/>
          <w:szCs w:val="28"/>
          <w:lang w:eastAsia="en-US"/>
        </w:rPr>
        <w:t xml:space="preserve"> об Общественном совете при Инспекции государственного строительного надзора Республики Татарстан, утвержденное </w:t>
      </w:r>
      <w:hyperlink r:id="rId10" w:history="1">
        <w:r>
          <w:rPr>
            <w:rStyle w:val="af7"/>
            <w:rFonts w:ascii="Times New Roman" w:hAnsi="Times New Roman" w:cs="Times New Roman"/>
            <w:bCs/>
            <w:color w:val="000000" w:themeColor="text1"/>
            <w:kern w:val="32"/>
            <w:sz w:val="28"/>
            <w:szCs w:val="28"/>
            <w:u w:val="none"/>
            <w:lang w:eastAsia="en-US"/>
          </w:rPr>
          <w:t>приказом</w:t>
        </w:r>
      </w:hyperlink>
      <w:r>
        <w:rPr>
          <w:rFonts w:ascii="Times New Roman" w:hAnsi="Times New Roman" w:cs="Times New Roman"/>
          <w:bCs/>
          <w:color w:val="000000" w:themeColor="text1"/>
          <w:kern w:val="32"/>
          <w:sz w:val="28"/>
          <w:szCs w:val="28"/>
          <w:lang w:eastAsia="en-US"/>
        </w:rPr>
        <w:t xml:space="preserve"> Инспекции государственного строительного надзора Республики Татарстан от 07.04.2016 № 26</w:t>
      </w:r>
    </w:p>
    <w:p>
      <w:pPr>
        <w:widowControl/>
        <w:autoSpaceDE/>
        <w:autoSpaceDN/>
        <w:adjustRightInd/>
        <w:ind w:firstLine="0"/>
        <w:rPr>
          <w:rFonts w:ascii="Times New Roman" w:hAnsi="Times New Roman" w:cs="Times New Roman"/>
          <w:sz w:val="28"/>
          <w:szCs w:val="28"/>
        </w:rPr>
      </w:pPr>
    </w:p>
    <w:p>
      <w:pPr>
        <w:widowControl/>
        <w:autoSpaceDE/>
        <w:autoSpaceDN/>
        <w:adjustRightInd/>
        <w:ind w:firstLine="0"/>
        <w:jc w:val="left"/>
        <w:outlineLvl w:val="0"/>
        <w:rPr>
          <w:rFonts w:ascii="Times New Roman" w:hAnsi="Times New Roman" w:cs="Times New Roman"/>
          <w:sz w:val="28"/>
          <w:szCs w:val="28"/>
        </w:rPr>
      </w:pPr>
    </w:p>
    <w:p>
      <w:pPr>
        <w:widowControl/>
        <w:autoSpaceDE/>
        <w:autoSpaceDN/>
        <w:adjustRightInd/>
        <w:ind w:firstLine="0"/>
        <w:jc w:val="left"/>
        <w:outlineLvl w:val="0"/>
        <w:rPr>
          <w:rFonts w:ascii="Times New Roman" w:hAnsi="Times New Roman" w:cs="Times New Roman"/>
          <w:sz w:val="28"/>
          <w:szCs w:val="28"/>
        </w:rPr>
      </w:pPr>
      <w:r>
        <w:rPr>
          <w:rFonts w:ascii="Times New Roman" w:hAnsi="Times New Roman" w:cs="Times New Roman"/>
          <w:sz w:val="28"/>
          <w:szCs w:val="28"/>
        </w:rPr>
        <w:t xml:space="preserve"> ПРИКАЗЫВАЮ:</w:t>
      </w:r>
    </w:p>
    <w:p>
      <w:pPr>
        <w:widowControl/>
        <w:tabs>
          <w:tab w:val="left" w:pos="993"/>
        </w:tabs>
        <w:rPr>
          <w:rFonts w:ascii="Times New Roman" w:hAnsi="Times New Roman" w:cs="Times New Roman"/>
          <w:color w:val="000000" w:themeColor="text1"/>
          <w:sz w:val="28"/>
          <w:szCs w:val="28"/>
        </w:rPr>
      </w:pPr>
      <w:r>
        <w:rPr>
          <w:rFonts w:ascii="Times New Roman" w:hAnsi="Times New Roman" w:cs="Times New Roman"/>
          <w:sz w:val="28"/>
          <w:szCs w:val="28"/>
        </w:rPr>
        <w:t xml:space="preserve">Внести в </w:t>
      </w:r>
      <w:hyperlink r:id="rId11" w:history="1">
        <w:r>
          <w:rPr>
            <w:rStyle w:val="af7"/>
            <w:rFonts w:ascii="Times New Roman" w:hAnsi="Times New Roman" w:cs="Times New Roman"/>
            <w:color w:val="000000" w:themeColor="text1"/>
            <w:sz w:val="28"/>
            <w:szCs w:val="28"/>
            <w:u w:val="none"/>
          </w:rPr>
          <w:t>Положение</w:t>
        </w:r>
      </w:hyperlink>
      <w:r>
        <w:rPr>
          <w:rFonts w:ascii="Times New Roman" w:hAnsi="Times New Roman" w:cs="Times New Roman"/>
          <w:sz w:val="28"/>
          <w:szCs w:val="28"/>
        </w:rPr>
        <w:t xml:space="preserve"> об Общественном совете при Инспекции государственного строительного надзора Республики Татарстан, утвержденное </w:t>
      </w:r>
      <w:hyperlink r:id="rId12" w:history="1">
        <w:r>
          <w:rPr>
            <w:rStyle w:val="af7"/>
            <w:rFonts w:ascii="Times New Roman" w:hAnsi="Times New Roman" w:cs="Times New Roman"/>
            <w:color w:val="000000" w:themeColor="text1"/>
            <w:sz w:val="28"/>
            <w:szCs w:val="28"/>
            <w:u w:val="none"/>
          </w:rPr>
          <w:t>приказом</w:t>
        </w:r>
      </w:hyperlink>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Инспекции государственного строительного надзора Республики Татарстан от 07.04.2016 № 26 (с изменениями, внесенными приказами Инспекции государственного строительного надзора Республики Татарстан </w:t>
      </w:r>
      <w:hyperlink r:id="rId13" w:history="1">
        <w:r>
          <w:rPr>
            <w:rStyle w:val="af7"/>
            <w:rFonts w:ascii="Times New Roman" w:hAnsi="Times New Roman" w:cs="Times New Roman"/>
            <w:color w:val="000000" w:themeColor="text1"/>
            <w:sz w:val="28"/>
            <w:szCs w:val="28"/>
            <w:u w:val="none"/>
          </w:rPr>
          <w:t>от 25.10.2017 № 115</w:t>
        </w:r>
      </w:hyperlink>
      <w:r>
        <w:rPr>
          <w:rFonts w:ascii="Times New Roman" w:hAnsi="Times New Roman" w:cs="Times New Roman"/>
          <w:color w:val="000000" w:themeColor="text1"/>
          <w:sz w:val="28"/>
          <w:szCs w:val="28"/>
        </w:rPr>
        <w:t xml:space="preserve">, </w:t>
      </w:r>
      <w:hyperlink r:id="rId14" w:history="1">
        <w:r>
          <w:rPr>
            <w:rStyle w:val="af7"/>
            <w:rFonts w:ascii="Times New Roman" w:hAnsi="Times New Roman" w:cs="Times New Roman"/>
            <w:color w:val="000000" w:themeColor="text1"/>
            <w:sz w:val="28"/>
            <w:szCs w:val="28"/>
            <w:u w:val="none"/>
          </w:rPr>
          <w:t>от 05.06.2019 № 66</w:t>
        </w:r>
      </w:hyperlink>
      <w:r>
        <w:rPr>
          <w:rStyle w:val="af7"/>
          <w:rFonts w:ascii="Times New Roman" w:hAnsi="Times New Roman" w:cs="Times New Roman"/>
          <w:color w:val="000000" w:themeColor="text1"/>
          <w:sz w:val="28"/>
          <w:szCs w:val="28"/>
          <w:u w:val="none"/>
        </w:rPr>
        <w:t>, от 08.12.2021 № 118, от 18.02.2022 № 29, от 02.10.2023 № 87, от 26.04.2024 № 63</w:t>
      </w:r>
      <w:r>
        <w:rPr>
          <w:rFonts w:ascii="Times New Roman" w:hAnsi="Times New Roman" w:cs="Times New Roman"/>
          <w:color w:val="000000" w:themeColor="text1"/>
          <w:sz w:val="28"/>
          <w:szCs w:val="28"/>
        </w:rPr>
        <w:t>), следующие изменения:</w:t>
      </w:r>
    </w:p>
    <w:p>
      <w:pPr>
        <w:widowControl/>
        <w:rPr>
          <w:rFonts w:ascii="Times New Roman" w:hAnsi="Times New Roman" w:cs="Times New Roman"/>
          <w:sz w:val="28"/>
          <w:szCs w:val="28"/>
        </w:rPr>
      </w:pPr>
      <w:r>
        <w:rPr>
          <w:rFonts w:ascii="Times New Roman" w:hAnsi="Times New Roman" w:cs="Times New Roman"/>
          <w:sz w:val="28"/>
          <w:szCs w:val="28"/>
        </w:rPr>
        <w:t>в пункте 1.6 слова «с действующими законодательствами Российской Федерации и Республики Татарстан» заменить словами «с федеральным законодательством и законодательством Республики Татарстан»;</w:t>
      </w:r>
    </w:p>
    <w:p>
      <w:pPr>
        <w:widowControl/>
        <w:shd w:val="clear" w:color="auto" w:fill="FFFFFF"/>
        <w:autoSpaceDE/>
        <w:autoSpaceDN/>
        <w:adjustRightInd/>
        <w:rPr>
          <w:rFonts w:ascii="Times New Roman" w:hAnsi="Times New Roman" w:cs="Times New Roman"/>
          <w:sz w:val="28"/>
          <w:szCs w:val="28"/>
        </w:rPr>
      </w:pPr>
      <w:hyperlink r:id="rId15" w:anchor="/document/8163600/entry/1254" w:history="1">
        <w:r>
          <w:rPr>
            <w:rFonts w:ascii="Times New Roman" w:hAnsi="Times New Roman" w:cs="Times New Roman"/>
            <w:sz w:val="28"/>
            <w:szCs w:val="28"/>
          </w:rPr>
          <w:t>абзац четвертый пункта 2.</w:t>
        </w:r>
      </w:hyperlink>
      <w:r>
        <w:rPr>
          <w:rFonts w:ascii="Times New Roman" w:hAnsi="Times New Roman" w:cs="Times New Roman"/>
          <w:sz w:val="28"/>
          <w:szCs w:val="28"/>
        </w:rPr>
        <w:t>4</w:t>
      </w:r>
      <w:r>
        <w:rPr>
          <w:rFonts w:ascii="Times New Roman" w:hAnsi="Times New Roman" w:cs="Times New Roman"/>
          <w:sz w:val="28"/>
          <w:szCs w:val="28"/>
        </w:rPr>
        <w:t> изложить в следующей редакции:</w:t>
      </w:r>
    </w:p>
    <w:p>
      <w:pPr>
        <w:widowControl/>
        <w:shd w:val="clear" w:color="auto" w:fill="FFFFFF"/>
        <w:autoSpaceDE/>
        <w:autoSpaceDN/>
        <w:adjustRightInd/>
        <w:rPr>
          <w:rFonts w:ascii="Times New Roman" w:hAnsi="Times New Roman" w:cs="Times New Roman"/>
          <w:color w:val="22272F"/>
          <w:sz w:val="28"/>
          <w:szCs w:val="28"/>
        </w:rPr>
      </w:pPr>
      <w:r>
        <w:rPr>
          <w:rFonts w:ascii="Times New Roman" w:hAnsi="Times New Roman" w:cs="Times New Roman"/>
          <w:sz w:val="28"/>
          <w:szCs w:val="28"/>
        </w:rPr>
        <w:t>«</w:t>
      </w:r>
      <w:r>
        <w:rPr>
          <w:rFonts w:ascii="Times New Roman" w:hAnsi="Times New Roman" w:cs="Times New Roman"/>
          <w:sz w:val="28"/>
          <w:szCs w:val="28"/>
        </w:rPr>
        <w:t>организует обсуждение проектов нормативных правовых актов,</w:t>
      </w:r>
      <w:r>
        <w:rPr>
          <w:rFonts w:ascii="Times New Roman" w:hAnsi="Times New Roman" w:cs="Times New Roman"/>
          <w:color w:val="22272F"/>
          <w:sz w:val="28"/>
          <w:szCs w:val="28"/>
        </w:rPr>
        <w:t xml:space="preserve"> предусмотренных составом нормативных правовых актов и иных документов, разрабатываемых республиканскими органами исполнительной власти, которые не могут быть приняты без предварительного обсуждения на заседаниях общественных советов при этих республиканских органах исполнительной власти, утвержденным постановлением Кабинета Министров Республики Татарстан от 29.03.2013 № 214 </w:t>
      </w:r>
      <w:r>
        <w:rPr>
          <w:rFonts w:ascii="Times New Roman" w:hAnsi="Times New Roman" w:cs="Times New Roman"/>
          <w:color w:val="22272F"/>
          <w:sz w:val="28"/>
          <w:szCs w:val="28"/>
        </w:rPr>
        <w:t>«</w:t>
      </w:r>
      <w:r>
        <w:rPr>
          <w:rFonts w:ascii="Times New Roman" w:hAnsi="Times New Roman" w:cs="Times New Roman"/>
          <w:color w:val="22272F"/>
          <w:sz w:val="28"/>
          <w:szCs w:val="28"/>
        </w:rPr>
        <w:t>Об утверждении состава нормативных правовых актов и иных документов, разрабатываемых республиканскими органами исполнительной власти, которые не могут быть приняты без предварительного обсуждения на заседаниях общественных советов при этих республиканских органах исполнительной власти</w:t>
      </w:r>
      <w:r>
        <w:rPr>
          <w:rFonts w:ascii="Times New Roman" w:hAnsi="Times New Roman" w:cs="Times New Roman"/>
          <w:color w:val="22272F"/>
          <w:sz w:val="28"/>
          <w:szCs w:val="28"/>
        </w:rPr>
        <w:t>»</w:t>
      </w:r>
      <w:r>
        <w:rPr>
          <w:rFonts w:ascii="Times New Roman" w:hAnsi="Times New Roman" w:cs="Times New Roman"/>
          <w:color w:val="22272F"/>
          <w:sz w:val="28"/>
          <w:szCs w:val="28"/>
        </w:rPr>
        <w:t>;</w:t>
      </w:r>
      <w:r>
        <w:rPr>
          <w:rFonts w:ascii="Times New Roman" w:hAnsi="Times New Roman" w:cs="Times New Roman"/>
          <w:color w:val="22272F"/>
          <w:sz w:val="28"/>
          <w:szCs w:val="28"/>
        </w:rPr>
        <w:t>»</w:t>
      </w:r>
      <w:r>
        <w:rPr>
          <w:rFonts w:ascii="Times New Roman" w:hAnsi="Times New Roman" w:cs="Times New Roman"/>
          <w:color w:val="22272F"/>
          <w:sz w:val="28"/>
          <w:szCs w:val="28"/>
        </w:rPr>
        <w:t>;</w:t>
      </w:r>
    </w:p>
    <w:p>
      <w:pPr>
        <w:widowControl/>
        <w:shd w:val="clear" w:color="auto" w:fill="FFFFFF"/>
        <w:autoSpaceDE/>
        <w:autoSpaceDN/>
        <w:adjustRightInd/>
        <w:rPr>
          <w:rFonts w:ascii="Times New Roman" w:hAnsi="Times New Roman" w:cs="Times New Roman"/>
          <w:color w:val="22272F"/>
          <w:sz w:val="28"/>
          <w:szCs w:val="28"/>
        </w:rPr>
      </w:pPr>
      <w:hyperlink r:id="rId16" w:anchor="/document/8163600/entry/1532" w:history="1">
        <w:r>
          <w:rPr>
            <w:rFonts w:ascii="Times New Roman" w:hAnsi="Times New Roman" w:cs="Times New Roman"/>
            <w:color w:val="22272F"/>
            <w:sz w:val="28"/>
            <w:szCs w:val="28"/>
          </w:rPr>
          <w:t>абзац второй пункта 5.3</w:t>
        </w:r>
      </w:hyperlink>
      <w:r>
        <w:rPr>
          <w:rFonts w:ascii="Times New Roman" w:hAnsi="Times New Roman" w:cs="Times New Roman"/>
          <w:color w:val="22272F"/>
          <w:sz w:val="28"/>
          <w:szCs w:val="28"/>
        </w:rPr>
        <w:t> изложить в следующей редакции:</w:t>
      </w:r>
    </w:p>
    <w:p>
      <w:pPr>
        <w:widowControl/>
        <w:shd w:val="clear" w:color="auto" w:fill="FFFFFF"/>
        <w:autoSpaceDE/>
        <w:autoSpaceDN/>
        <w:adjustRightInd/>
        <w:rPr>
          <w:rFonts w:ascii="Times New Roman" w:hAnsi="Times New Roman" w:cs="Times New Roman"/>
          <w:color w:val="22272F"/>
          <w:sz w:val="28"/>
          <w:szCs w:val="28"/>
        </w:rPr>
      </w:pPr>
      <w:r>
        <w:rPr>
          <w:rFonts w:ascii="Times New Roman" w:hAnsi="Times New Roman" w:cs="Times New Roman"/>
          <w:color w:val="22272F"/>
          <w:sz w:val="28"/>
          <w:szCs w:val="28"/>
        </w:rPr>
        <w:lastRenderedPageBreak/>
        <w:t>«</w:t>
      </w:r>
      <w:r>
        <w:rPr>
          <w:rFonts w:ascii="Times New Roman" w:hAnsi="Times New Roman" w:cs="Times New Roman"/>
          <w:color w:val="22272F"/>
          <w:sz w:val="28"/>
          <w:szCs w:val="28"/>
        </w:rPr>
        <w:t xml:space="preserve">Заседания Общественного совета проводятся также по инициативе </w:t>
      </w:r>
      <w:r>
        <w:rPr>
          <w:rFonts w:ascii="Times New Roman" w:hAnsi="Times New Roman" w:cs="Times New Roman"/>
          <w:color w:val="22272F"/>
          <w:sz w:val="28"/>
          <w:szCs w:val="28"/>
        </w:rPr>
        <w:t>Инспекции</w:t>
      </w:r>
      <w:r>
        <w:rPr>
          <w:rFonts w:ascii="Times New Roman" w:hAnsi="Times New Roman" w:cs="Times New Roman"/>
          <w:color w:val="22272F"/>
          <w:sz w:val="28"/>
          <w:szCs w:val="28"/>
        </w:rPr>
        <w:t xml:space="preserve"> в целях выдачи заключения Общественного совета на разработанные </w:t>
      </w:r>
      <w:r>
        <w:rPr>
          <w:rFonts w:ascii="Times New Roman" w:hAnsi="Times New Roman" w:cs="Times New Roman"/>
          <w:color w:val="22272F"/>
          <w:sz w:val="28"/>
          <w:szCs w:val="28"/>
        </w:rPr>
        <w:t>Инспекцией</w:t>
      </w:r>
      <w:r>
        <w:rPr>
          <w:rFonts w:ascii="Times New Roman" w:hAnsi="Times New Roman" w:cs="Times New Roman"/>
          <w:color w:val="22272F"/>
          <w:sz w:val="28"/>
          <w:szCs w:val="28"/>
        </w:rPr>
        <w:t xml:space="preserve"> проекты нормативных правовых актов, предусмотренных составом нормативных правовых актов и иных документов, разрабатываемых республиканскими органами исполнительной власти, которые не могут быть приняты без предварительного обсуждения на заседаниях общественных советов при этих республиканских органах исполнительной власти, утвержденным постановлением Кабинета Министров Республики Татарстан от 29.03.2013 № 214 </w:t>
      </w:r>
      <w:r>
        <w:rPr>
          <w:rFonts w:ascii="Times New Roman" w:hAnsi="Times New Roman" w:cs="Times New Roman"/>
          <w:color w:val="22272F"/>
          <w:sz w:val="28"/>
          <w:szCs w:val="28"/>
        </w:rPr>
        <w:t>«</w:t>
      </w:r>
      <w:r>
        <w:rPr>
          <w:rFonts w:ascii="Times New Roman" w:hAnsi="Times New Roman" w:cs="Times New Roman"/>
          <w:color w:val="22272F"/>
          <w:sz w:val="28"/>
          <w:szCs w:val="28"/>
        </w:rPr>
        <w:t>Об утверждении состава нормативных правовых актов и иных документов, разрабатываемых республиканскими органами исполнительной власти, которые не могут быть приняты без предварительного обсуждения на заседаниях общественных советов при этих республиканских органах исполнительной власти</w:t>
      </w:r>
      <w:r>
        <w:rPr>
          <w:rFonts w:ascii="Times New Roman" w:hAnsi="Times New Roman" w:cs="Times New Roman"/>
          <w:color w:val="22272F"/>
          <w:sz w:val="28"/>
          <w:szCs w:val="28"/>
        </w:rPr>
        <w:t>»</w:t>
      </w:r>
      <w:r>
        <w:rPr>
          <w:rFonts w:ascii="Times New Roman" w:hAnsi="Times New Roman" w:cs="Times New Roman"/>
          <w:color w:val="22272F"/>
          <w:sz w:val="28"/>
          <w:szCs w:val="28"/>
        </w:rPr>
        <w:t xml:space="preserve">, и на нормативные правовые акты </w:t>
      </w:r>
      <w:r>
        <w:rPr>
          <w:rFonts w:ascii="Times New Roman" w:hAnsi="Times New Roman" w:cs="Times New Roman"/>
          <w:color w:val="22272F"/>
          <w:sz w:val="28"/>
          <w:szCs w:val="28"/>
        </w:rPr>
        <w:t>Инспекции</w:t>
      </w:r>
      <w:r>
        <w:rPr>
          <w:rFonts w:ascii="Times New Roman" w:hAnsi="Times New Roman" w:cs="Times New Roman"/>
          <w:color w:val="22272F"/>
          <w:sz w:val="28"/>
          <w:szCs w:val="28"/>
        </w:rPr>
        <w:t>, направляемые в установленном порядке на регистрацию в Министерство юстиции Республики Татарстан.</w:t>
      </w:r>
      <w:r>
        <w:rPr>
          <w:rFonts w:ascii="Times New Roman" w:hAnsi="Times New Roman" w:cs="Times New Roman"/>
          <w:color w:val="22272F"/>
          <w:sz w:val="28"/>
          <w:szCs w:val="28"/>
        </w:rPr>
        <w:t>»</w:t>
      </w:r>
      <w:r>
        <w:rPr>
          <w:rFonts w:ascii="Times New Roman" w:hAnsi="Times New Roman" w:cs="Times New Roman"/>
          <w:color w:val="22272F"/>
          <w:sz w:val="28"/>
          <w:szCs w:val="28"/>
        </w:rPr>
        <w:t>.</w:t>
      </w:r>
    </w:p>
    <w:p>
      <w:pPr>
        <w:widowControl/>
        <w:rPr>
          <w:rFonts w:ascii="Times New Roman" w:hAnsi="Times New Roman" w:cs="Times New Roman"/>
          <w:sz w:val="28"/>
          <w:szCs w:val="28"/>
        </w:rPr>
      </w:pPr>
    </w:p>
    <w:p>
      <w:pPr>
        <w:widowControl/>
        <w:rPr>
          <w:rFonts w:ascii="Times New Roman" w:hAnsi="Times New Roman" w:cs="Times New Roman"/>
          <w:color w:val="000000" w:themeColor="text1"/>
          <w:sz w:val="28"/>
          <w:szCs w:val="28"/>
        </w:rPr>
      </w:pPr>
    </w:p>
    <w:p>
      <w:pPr>
        <w:widowControl/>
        <w:rPr>
          <w:rFonts w:ascii="Times New Roman" w:hAnsi="Times New Roman" w:cs="Times New Roman"/>
          <w:color w:val="000000" w:themeColor="text1"/>
          <w:sz w:val="28"/>
          <w:szCs w:val="28"/>
        </w:rPr>
      </w:pPr>
    </w:p>
    <w:p>
      <w:pPr>
        <w:widowControl/>
        <w:ind w:firstLine="0"/>
        <w:rPr>
          <w:rFonts w:ascii="Times New Roman" w:hAnsi="Times New Roman" w:cs="Times New Roman"/>
          <w:sz w:val="28"/>
          <w:szCs w:val="28"/>
        </w:rPr>
      </w:pPr>
      <w:r>
        <w:rPr>
          <w:rFonts w:ascii="Times New Roman" w:hAnsi="Times New Roman" w:cs="Times New Roman"/>
          <w:color w:val="000000" w:themeColor="text1"/>
          <w:sz w:val="28"/>
          <w:szCs w:val="28"/>
        </w:rPr>
        <w:t xml:space="preserve">Начальник                                                                     </w:t>
      </w:r>
      <w:bookmarkStart w:id="0" w:name="_GoBack"/>
      <w:bookmarkEnd w:id="0"/>
      <w:r>
        <w:rPr>
          <w:rFonts w:ascii="Times New Roman" w:hAnsi="Times New Roman" w:cs="Times New Roman"/>
          <w:color w:val="000000" w:themeColor="text1"/>
          <w:sz w:val="28"/>
          <w:szCs w:val="28"/>
        </w:rPr>
        <w:t xml:space="preserve">                         В.Р. </w:t>
      </w:r>
      <w:proofErr w:type="spellStart"/>
      <w:r>
        <w:rPr>
          <w:rFonts w:ascii="Times New Roman" w:hAnsi="Times New Roman" w:cs="Times New Roman"/>
          <w:color w:val="000000" w:themeColor="text1"/>
          <w:sz w:val="28"/>
          <w:szCs w:val="28"/>
        </w:rPr>
        <w:t>Назмеев</w:t>
      </w:r>
      <w:proofErr w:type="spellEnd"/>
    </w:p>
    <w:p>
      <w:pPr>
        <w:widowControl/>
        <w:rPr>
          <w:rFonts w:ascii="Times New Roman" w:hAnsi="Times New Roman" w:cs="Times New Roman"/>
          <w:sz w:val="28"/>
          <w:szCs w:val="28"/>
        </w:rPr>
      </w:pPr>
    </w:p>
    <w:sectPr>
      <w:headerReference w:type="default" r:id="rId17"/>
      <w:headerReference w:type="first" r:id="rId18"/>
      <w:pgSz w:w="11905" w:h="16837"/>
      <w:pgMar w:top="1440" w:right="800" w:bottom="1440" w:left="110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f0"/>
      <w:jc w:val="center"/>
      <w:rPr>
        <w:sz w:val="28"/>
        <w:szCs w:val="28"/>
      </w:rPr>
    </w:pPr>
    <w:r>
      <w:rPr>
        <w:sz w:val="28"/>
        <w:szCs w:val="28"/>
      </w:rPr>
      <w:fldChar w:fldCharType="begin"/>
    </w:r>
    <w:r>
      <w:rPr>
        <w:sz w:val="28"/>
        <w:szCs w:val="28"/>
      </w:rPr>
      <w:instrText>PAGE   \* MERGEFORMAT</w:instrText>
    </w:r>
    <w:r>
      <w:rPr>
        <w:sz w:val="28"/>
        <w:szCs w:val="28"/>
      </w:rPr>
      <w:fldChar w:fldCharType="separate"/>
    </w:r>
    <w:r>
      <w:rPr>
        <w:noProof/>
        <w:sz w:val="28"/>
        <w:szCs w:val="28"/>
      </w:rPr>
      <w:t>2</w:t>
    </w:r>
    <w:r>
      <w:rPr>
        <w:sz w:val="28"/>
        <w:szCs w:val="28"/>
      </w:rPr>
      <w:fldChar w:fldCharType="end"/>
    </w:r>
  </w:p>
  <w:p>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f0"/>
      <w:jc w:val="center"/>
    </w:pPr>
  </w:p>
  <w:p>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D26F0"/>
    <w:multiLevelType w:val="multilevel"/>
    <w:tmpl w:val="C56C7580"/>
    <w:lvl w:ilvl="0">
      <w:start w:val="1"/>
      <w:numFmt w:val="decimal"/>
      <w:lvlText w:val="%1"/>
      <w:lvlJc w:val="center"/>
      <w:pPr>
        <w:ind w:left="360" w:hanging="72"/>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32424EE3"/>
    <w:multiLevelType w:val="multilevel"/>
    <w:tmpl w:val="B04CCEA0"/>
    <w:lvl w:ilvl="0">
      <w:start w:val="1"/>
      <w:numFmt w:val="decimal"/>
      <w:suff w:val="nothing"/>
      <w:lvlText w:val="%1"/>
      <w:lvlJc w:val="center"/>
      <w:pPr>
        <w:ind w:left="360" w:hanging="72"/>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4E9310F9"/>
    <w:multiLevelType w:val="multilevel"/>
    <w:tmpl w:val="2CC62A2E"/>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 w15:restartNumberingAfterBreak="0">
    <w:nsid w:val="54A34A86"/>
    <w:multiLevelType w:val="hybridMultilevel"/>
    <w:tmpl w:val="90707EB0"/>
    <w:lvl w:ilvl="0" w:tplc="E2D249B2">
      <w:start w:val="1"/>
      <w:numFmt w:val="decimal"/>
      <w:lvlText w:val="%1."/>
      <w:lvlJc w:val="left"/>
      <w:pPr>
        <w:ind w:left="1185" w:hanging="465"/>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6BC12BBD"/>
    <w:multiLevelType w:val="multilevel"/>
    <w:tmpl w:val="82264CC6"/>
    <w:styleLink w:val="1"/>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6D924458"/>
    <w:multiLevelType w:val="multilevel"/>
    <w:tmpl w:val="82264CC6"/>
    <w:numStyleLink w:val="1"/>
  </w:abstractNum>
  <w:abstractNum w:abstractNumId="6"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73F37245"/>
    <w:multiLevelType w:val="multilevel"/>
    <w:tmpl w:val="81423BF0"/>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abstractNumId w:val="6"/>
  </w:num>
  <w:num w:numId="2">
    <w:abstractNumId w:val="2"/>
  </w:num>
  <w:num w:numId="3">
    <w:abstractNumId w:val="7"/>
  </w:num>
  <w:num w:numId="4">
    <w:abstractNumId w:val="0"/>
  </w:num>
  <w:num w:numId="5">
    <w:abstractNumId w:val="1"/>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AA9A915-A007-4750-9BDA-FA1EC0BA7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hAnsi="Arial" w:cs="Arial"/>
      <w:sz w:val="24"/>
      <w:szCs w:val="24"/>
    </w:rPr>
  </w:style>
  <w:style w:type="paragraph" w:styleId="10">
    <w:name w:val="heading 1"/>
    <w:basedOn w:val="a"/>
    <w:next w:val="a"/>
    <w:link w:val="11"/>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locked/>
    <w:rPr>
      <w:rFonts w:ascii="Calibri Light" w:hAnsi="Calibri Light"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Текст информации об изменениях"/>
    <w:basedOn w:val="a"/>
    <w:next w:val="a"/>
    <w:uiPriority w:val="99"/>
    <w:rPr>
      <w:color w:val="353842"/>
      <w:sz w:val="18"/>
      <w:szCs w:val="18"/>
    </w:rPr>
  </w:style>
  <w:style w:type="paragraph" w:customStyle="1" w:styleId="a6">
    <w:name w:val="Информация об изменениях"/>
    <w:basedOn w:val="a5"/>
    <w:next w:val="a"/>
    <w:uiPriority w:val="99"/>
    <w:pPr>
      <w:spacing w:before="180"/>
      <w:ind w:left="360" w:right="360" w:firstLine="0"/>
    </w:pPr>
    <w:rPr>
      <w:shd w:val="clear" w:color="auto" w:fill="EAEFED"/>
    </w:rPr>
  </w:style>
  <w:style w:type="paragraph" w:customStyle="1" w:styleId="a7">
    <w:name w:val="Текст (справка)"/>
    <w:basedOn w:val="a"/>
    <w:next w:val="a"/>
    <w:uiPriority w:val="99"/>
    <w:pPr>
      <w:ind w:left="170" w:right="170" w:firstLine="0"/>
      <w:jc w:val="left"/>
    </w:pPr>
  </w:style>
  <w:style w:type="paragraph" w:customStyle="1" w:styleId="a8">
    <w:name w:val="Комментарий"/>
    <w:basedOn w:val="a7"/>
    <w:next w:val="a"/>
    <w:uiPriority w:val="99"/>
    <w:pPr>
      <w:spacing w:before="75"/>
      <w:ind w:right="0"/>
      <w:jc w:val="both"/>
    </w:pPr>
    <w:rPr>
      <w:color w:val="353842"/>
      <w:shd w:val="clear" w:color="auto" w:fill="F0F0F0"/>
    </w:rPr>
  </w:style>
  <w:style w:type="paragraph" w:customStyle="1" w:styleId="a9">
    <w:name w:val="Информация об изменениях документа"/>
    <w:basedOn w:val="a8"/>
    <w:next w:val="a"/>
    <w:uiPriority w:val="99"/>
    <w:rPr>
      <w:i/>
      <w:iCs/>
    </w:r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5"/>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Продолжение ссылки"/>
    <w:uiPriority w:val="99"/>
  </w:style>
  <w:style w:type="character" w:customStyle="1" w:styleId="af">
    <w:name w:val="Цветовое выделение для Текст"/>
    <w:uiPriority w:val="99"/>
  </w:style>
  <w:style w:type="paragraph" w:styleId="af0">
    <w:name w:val="header"/>
    <w:basedOn w:val="a"/>
    <w:link w:val="af1"/>
    <w:uiPriority w:val="99"/>
    <w:pPr>
      <w:widowControl/>
      <w:tabs>
        <w:tab w:val="center" w:pos="4677"/>
        <w:tab w:val="right" w:pos="9355"/>
      </w:tabs>
      <w:autoSpaceDE/>
      <w:autoSpaceDN/>
      <w:adjustRightInd/>
      <w:ind w:firstLine="0"/>
      <w:jc w:val="left"/>
    </w:pPr>
    <w:rPr>
      <w:rFonts w:ascii="Times New Roman" w:hAnsi="Times New Roman" w:cs="Times New Roman"/>
    </w:rPr>
  </w:style>
  <w:style w:type="character" w:customStyle="1" w:styleId="af1">
    <w:name w:val="Верхний колонтитул Знак"/>
    <w:basedOn w:val="a0"/>
    <w:link w:val="af0"/>
    <w:uiPriority w:val="99"/>
    <w:locked/>
    <w:rPr>
      <w:rFonts w:ascii="Times New Roman" w:hAnsi="Times New Roman"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Arial" w:hAnsi="Arial" w:cs="Times New Roman"/>
      <w:sz w:val="24"/>
    </w:rPr>
  </w:style>
  <w:style w:type="paragraph" w:styleId="af4">
    <w:name w:val="Balloon Text"/>
    <w:basedOn w:val="a"/>
    <w:link w:val="af5"/>
    <w:uiPriority w:val="99"/>
    <w:semiHidden/>
    <w:unhideWhenUsed/>
    <w:rPr>
      <w:rFonts w:ascii="Segoe UI" w:hAnsi="Segoe UI" w:cs="Segoe UI"/>
      <w:sz w:val="18"/>
      <w:szCs w:val="18"/>
    </w:rPr>
  </w:style>
  <w:style w:type="character" w:customStyle="1" w:styleId="af5">
    <w:name w:val="Текст выноски Знак"/>
    <w:basedOn w:val="a0"/>
    <w:link w:val="af4"/>
    <w:uiPriority w:val="99"/>
    <w:semiHidden/>
    <w:locked/>
    <w:rPr>
      <w:rFonts w:ascii="Segoe UI" w:hAnsi="Segoe UI" w:cs="Times New Roman"/>
      <w:sz w:val="18"/>
    </w:rPr>
  </w:style>
  <w:style w:type="character" w:styleId="af6">
    <w:name w:val="Emphasis"/>
    <w:basedOn w:val="a0"/>
    <w:uiPriority w:val="20"/>
    <w:qFormat/>
    <w:rPr>
      <w:rFonts w:cs="Times New Roman"/>
      <w:i/>
    </w:rPr>
  </w:style>
  <w:style w:type="numbering" w:customStyle="1" w:styleId="1">
    <w:name w:val="Стиль1"/>
    <w:pPr>
      <w:numPr>
        <w:numId w:val="6"/>
      </w:numPr>
    </w:pPr>
  </w:style>
  <w:style w:type="character" w:styleId="af7">
    <w:name w:val="Hyperlink"/>
    <w:basedOn w:val="a0"/>
    <w:uiPriority w:val="99"/>
    <w:unhideWhenUsed/>
    <w:rPr>
      <w:color w:val="0563C1" w:themeColor="hyperlink"/>
      <w:u w:val="single"/>
    </w:rPr>
  </w:style>
  <w:style w:type="paragraph" w:styleId="af8">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052650">
      <w:marLeft w:val="0"/>
      <w:marRight w:val="0"/>
      <w:marTop w:val="0"/>
      <w:marBottom w:val="0"/>
      <w:divBdr>
        <w:top w:val="none" w:sz="0" w:space="0" w:color="auto"/>
        <w:left w:val="none" w:sz="0" w:space="0" w:color="auto"/>
        <w:bottom w:val="none" w:sz="0" w:space="0" w:color="auto"/>
        <w:right w:val="none" w:sz="0" w:space="0" w:color="auto"/>
      </w:divBdr>
    </w:div>
    <w:div w:id="573052651">
      <w:marLeft w:val="0"/>
      <w:marRight w:val="0"/>
      <w:marTop w:val="0"/>
      <w:marBottom w:val="0"/>
      <w:divBdr>
        <w:top w:val="none" w:sz="0" w:space="0" w:color="auto"/>
        <w:left w:val="none" w:sz="0" w:space="0" w:color="auto"/>
        <w:bottom w:val="none" w:sz="0" w:space="0" w:color="auto"/>
        <w:right w:val="none" w:sz="0" w:space="0" w:color="auto"/>
      </w:divBdr>
    </w:div>
    <w:div w:id="573052652">
      <w:marLeft w:val="0"/>
      <w:marRight w:val="0"/>
      <w:marTop w:val="0"/>
      <w:marBottom w:val="0"/>
      <w:divBdr>
        <w:top w:val="none" w:sz="0" w:space="0" w:color="auto"/>
        <w:left w:val="none" w:sz="0" w:space="0" w:color="auto"/>
        <w:bottom w:val="none" w:sz="0" w:space="0" w:color="auto"/>
        <w:right w:val="none" w:sz="0" w:space="0" w:color="auto"/>
      </w:divBdr>
    </w:div>
    <w:div w:id="83846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22462223.0"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2244235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22442352.100"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garantF1://22442352.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22442352.100" TargetMode="External"/><Relationship Id="rId14" Type="http://schemas.openxmlformats.org/officeDocument/2006/relationships/hyperlink" Target="garantF1://2248245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0A8E5-7389-44B3-B094-EA2971245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517</Words>
  <Characters>2949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Лилия Булатова</cp:lastModifiedBy>
  <cp:revision>7</cp:revision>
  <cp:lastPrinted>2021-10-15T12:40:00Z</cp:lastPrinted>
  <dcterms:created xsi:type="dcterms:W3CDTF">2026-09-16T12:48:00Z</dcterms:created>
  <dcterms:modified xsi:type="dcterms:W3CDTF">2026-09-16T13:49:00Z</dcterms:modified>
</cp:coreProperties>
</file>