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04"/>
        <w:jc w:val="right"/>
        <w:rPr>
          <w:rFonts w:ascii="Times New Roman" w:hAnsi="Times New Roman" w:cs="Times New Roman"/>
          <w:b w:val="0"/>
          <w:sz w:val="28"/>
          <w:szCs w:val="28"/>
        </w:rPr>
      </w:pPr>
      <w:r>
        <w:rPr>
          <w:rFonts w:ascii="Times New Roman" w:hAnsi="Times New Roman" w:cs="Times New Roman"/>
          <w:b w:val="0"/>
          <w:sz w:val="28"/>
          <w:szCs w:val="28"/>
        </w:rPr>
        <w:t xml:space="preserve">Проект</w:t>
      </w:r>
      <w:r>
        <w:rPr>
          <w:rFonts w:ascii="Times New Roman" w:hAnsi="Times New Roman" w:cs="Times New Roman"/>
          <w:b w:val="0"/>
          <w:sz w:val="28"/>
          <w:szCs w:val="28"/>
        </w:rPr>
      </w:r>
      <w:r>
        <w:rPr>
          <w:rFonts w:ascii="Times New Roman" w:hAnsi="Times New Roman" w:cs="Times New Roman"/>
          <w:b w:val="0"/>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jc w:val="center"/>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04"/>
        <w:ind w:right="4394"/>
        <w:jc w:val="both"/>
        <w:tabs>
          <w:tab w:val="left" w:pos="5812" w:leader="none"/>
        </w:tabs>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p>
      <w:pPr>
        <w:pStyle w:val="904"/>
        <w:ind w:right="5528"/>
        <w:jc w:val="both"/>
        <w:spacing w:line="240" w:lineRule="auto"/>
        <w:tabs>
          <w:tab w:val="left" w:pos="5670" w:leader="none"/>
        </w:tabs>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 xml:space="preserve">О внесении изменений в </w:t>
      </w:r>
      <w:r>
        <w:rPr>
          <w:rFonts w:ascii="Times New Roman" w:hAnsi="Times New Roman" w:cs="Times New Roman"/>
          <w:b w:val="0"/>
          <w:bCs w:val="0"/>
          <w:color w:val="000000" w:themeColor="text1"/>
          <w:sz w:val="28"/>
          <w:szCs w:val="28"/>
        </w:rPr>
        <w:t xml:space="preserve">п</w:t>
      </w:r>
      <w:r>
        <w:rPr>
          <w:rFonts w:ascii="Times New Roman" w:hAnsi="Times New Roman" w:cs="Times New Roman"/>
          <w:b w:val="0"/>
          <w:bCs w:val="0"/>
          <w:color w:val="000000" w:themeColor="text1"/>
          <w:sz w:val="28"/>
          <w:szCs w:val="28"/>
        </w:rPr>
        <w:t xml:space="preserve">остановл</w:t>
      </w:r>
      <w:r>
        <w:rPr>
          <w:rFonts w:ascii="Times New Roman" w:hAnsi="Times New Roman" w:cs="Times New Roman"/>
          <w:b w:val="0"/>
          <w:bCs w:val="0"/>
          <w:color w:val="000000" w:themeColor="text1"/>
          <w:sz w:val="28"/>
          <w:szCs w:val="28"/>
        </w:rPr>
        <w:t xml:space="preserve">е</w:t>
      </w:r>
      <w:r>
        <w:rPr>
          <w:rFonts w:ascii="Times New Roman" w:hAnsi="Times New Roman" w:cs="Times New Roman"/>
          <w:b w:val="0"/>
          <w:bCs w:val="0"/>
          <w:color w:val="000000" w:themeColor="text1"/>
          <w:sz w:val="28"/>
          <w:szCs w:val="28"/>
        </w:rPr>
        <w:t xml:space="preserve">ние Кабинета Министров Республики Татарстан от 26.04.2017 № 252 </w:t>
      </w:r>
      <w:r>
        <w:rPr>
          <w:rFonts w:ascii="Times New Roman" w:hAnsi="Times New Roman" w:cs="Times New Roman"/>
          <w:b w:val="0"/>
          <w:bCs w:val="0"/>
          <w:color w:val="000000" w:themeColor="text1"/>
          <w:sz w:val="28"/>
          <w:szCs w:val="28"/>
        </w:rPr>
        <w:t xml:space="preserve">«Об образовании Межведомственной к</w:t>
      </w:r>
      <w:r>
        <w:rPr>
          <w:rFonts w:ascii="Times New Roman" w:hAnsi="Times New Roman" w:cs="Times New Roman"/>
          <w:b w:val="0"/>
          <w:bCs w:val="0"/>
          <w:color w:val="000000" w:themeColor="text1"/>
          <w:sz w:val="28"/>
          <w:szCs w:val="28"/>
        </w:rPr>
        <w:t xml:space="preserve">о</w:t>
      </w:r>
      <w:r>
        <w:rPr>
          <w:rFonts w:ascii="Times New Roman" w:hAnsi="Times New Roman" w:cs="Times New Roman"/>
          <w:b w:val="0"/>
          <w:bCs w:val="0"/>
          <w:color w:val="000000" w:themeColor="text1"/>
          <w:sz w:val="28"/>
          <w:szCs w:val="28"/>
        </w:rPr>
        <w:t xml:space="preserve">миссии по увековечению памяти </w:t>
      </w:r>
      <w:r>
        <w:rPr>
          <w:rFonts w:ascii="Times New Roman" w:hAnsi="Times New Roman" w:cs="Times New Roman"/>
          <w:b w:val="0"/>
          <w:bCs w:val="0"/>
          <w:color w:val="000000" w:themeColor="text1"/>
          <w:sz w:val="28"/>
          <w:szCs w:val="28"/>
        </w:rPr>
        <w:t xml:space="preserve">выдающихся</w:t>
      </w:r>
      <w:r>
        <w:rPr>
          <w:rFonts w:ascii="Times New Roman" w:hAnsi="Times New Roman" w:cs="Times New Roman"/>
          <w:b w:val="0"/>
          <w:bCs w:val="0"/>
          <w:color w:val="000000" w:themeColor="text1"/>
          <w:sz w:val="28"/>
          <w:szCs w:val="28"/>
        </w:rPr>
        <w:t xml:space="preserve"> личностей и знаменател</w:t>
      </w:r>
      <w:r>
        <w:rPr>
          <w:rFonts w:ascii="Times New Roman" w:hAnsi="Times New Roman" w:cs="Times New Roman"/>
          <w:b w:val="0"/>
          <w:bCs w:val="0"/>
          <w:color w:val="000000" w:themeColor="text1"/>
          <w:sz w:val="28"/>
          <w:szCs w:val="28"/>
        </w:rPr>
        <w:t xml:space="preserve">ь</w:t>
      </w:r>
      <w:r>
        <w:rPr>
          <w:rFonts w:ascii="Times New Roman" w:hAnsi="Times New Roman" w:cs="Times New Roman"/>
          <w:b w:val="0"/>
          <w:bCs w:val="0"/>
          <w:color w:val="000000" w:themeColor="text1"/>
          <w:sz w:val="28"/>
          <w:szCs w:val="28"/>
        </w:rPr>
        <w:t xml:space="preserve">ных событий в Республике Татарстан»</w:t>
      </w: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p>
      <w:pPr>
        <w:pStyle w:val="904"/>
        <w:ind w:right="4394"/>
        <w:jc w:val="both"/>
        <w:spacing w:line="240" w:lineRule="auto"/>
        <w:tabs>
          <w:tab w:val="left" w:pos="5812" w:leader="none"/>
        </w:tabs>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В целях реализации части 1 статьи 7 Закона Республики Татарстан от 19 июня 2026 года № 36-ЗРТ «О регулировании в Республике Татарстан отдельных вопросов увековечения памяти погибших при защите Отечества», а также совершенствования порядка увековечения памя</w:t>
      </w:r>
      <w:r>
        <w:rPr>
          <w:rFonts w:ascii="Times New Roman" w:hAnsi="Times New Roman" w:eastAsia="Times New Roman" w:cs="Times New Roman"/>
          <w:color w:val="000000" w:themeColor="text1"/>
          <w:sz w:val="28"/>
          <w:szCs w:val="28"/>
        </w:rPr>
        <w:t xml:space="preserve">ти выдающихся личностей и знаменательных событий в Республике Татарстан Кабинет Министров Республики Татарстан </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highlight w:val="none"/>
        </w:rPr>
      </w:r>
      <w:r>
        <w:rPr>
          <w:rFonts w:ascii="Times New Roman" w:hAnsi="Times New Roman" w:eastAsia="Times New Roman" w:cs="Times New Roman"/>
          <w:color w:val="000000" w:themeColor="text1"/>
          <w:sz w:val="28"/>
          <w:szCs w:val="28"/>
          <w:highlight w:val="none"/>
        </w:rPr>
      </w:r>
    </w:p>
    <w:p>
      <w:pPr>
        <w:ind w:left="0" w:right="0" w:firstLine="708"/>
        <w:shd w:val="clear" w:color="ffffff" w:fill="ffffff"/>
        <w:rPr>
          <w:rFonts w:ascii="Times New Roman" w:hAnsi="Times New Roman" w:cs="Times New Roman"/>
          <w:color w:val="000000" w:themeColor="text1"/>
          <w:sz w:val="28"/>
          <w:szCs w:val="2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ПОСТАНОВЛЯЕТ:</w:t>
      </w:r>
      <w:r>
        <w:rPr>
          <w:rFonts w:ascii="Times New Roman" w:hAnsi="Times New Roman" w:eastAsia="Times New Roman" w:cs="Times New Roman"/>
          <w:color w:val="000000" w:themeColor="text1"/>
          <w:sz w:val="28"/>
          <w:szCs w:val="28"/>
        </w:rPr>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 Внести в постановление Кабинета Министров Республики Татарстан от 26.04.2017 № 252 «Об образовании Межведомственной комиссии по увековечению памяти выдающихся личностей и знаменательных событий в Республике Татарстан» (с изменениями, внесенными постанов</w:t>
      </w:r>
      <w:r>
        <w:rPr>
          <w:rFonts w:ascii="Times New Roman" w:hAnsi="Times New Roman" w:eastAsia="Times New Roman" w:cs="Times New Roman"/>
          <w:color w:val="000000" w:themeColor="text1"/>
          <w:sz w:val="28"/>
          <w:szCs w:val="28"/>
        </w:rPr>
        <w:t xml:space="preserve">лениями Кабинета Министров Республики Татарстан от 14.06.2018 № 479, от 11.02.2020 № 97, от 14.12.2020 № 1137, от 04.05.2022 № 413, от 18.06.2022 № 585, от 15.11.2022 № 1215, от 02.05.2023 № 546) следующие изменения: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1.1. В Положении о Межведомственной комиссии по увековечению памяти выдающихся личностей и знаменательных событий в Республике Татарстан, утвержденном указанным постановлением:</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 пункт 2 дополнить подпунктом 2.1 следующего содержания: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«2.1. Ходатайства общественных объединений, организаций об увековечении памяти выдающихся личностей Республики Татарстан и знаменательных событий в Республике Татарстан рассматриваются Комиссией с учетом положительных заключений уполномоченных в области ку</w:t>
      </w:r>
      <w:r>
        <w:rPr>
          <w:rFonts w:ascii="Times New Roman" w:hAnsi="Times New Roman" w:eastAsia="Times New Roman" w:cs="Times New Roman"/>
          <w:color w:val="000000" w:themeColor="text1"/>
          <w:sz w:val="28"/>
          <w:szCs w:val="28"/>
        </w:rPr>
        <w:t xml:space="preserve">льтуры, градостроительства и архитектуры органов местного самоуправления, на территории которых предлагается увековечение памяти выдающихся личностей Республики Татарстан и знаменательных событий в Республике Татарстан, а также согласования республиканских</w:t>
      </w:r>
      <w:r>
        <w:rPr>
          <w:rFonts w:ascii="Times New Roman" w:hAnsi="Times New Roman" w:eastAsia="Times New Roman" w:cs="Times New Roman"/>
          <w:color w:val="000000" w:themeColor="text1"/>
          <w:sz w:val="28"/>
          <w:szCs w:val="28"/>
        </w:rPr>
        <w:t xml:space="preserve"> органов исполнительной власти согласно направлению деятельности увековечиваемого лица и характеру увековечиваемого события.»;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2) пункт 3 дополнить словами «, Законом Республики Татарстан от 19 июня 2026 года № 36-ЗРТ „О регулировании в Республике Татарстан отдельных вопросов увековечения памяти погибших при защите Отечества“»;</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3) пункт 4 дополнить подпунктом 4.3 следующего содержания:</w:t>
      </w:r>
      <w:r>
        <w:rPr>
          <w:rFonts w:ascii="Times New Roman" w:hAnsi="Times New Roman" w:eastAsia="Times New Roman" w:cs="Times New Roman"/>
          <w:color w:val="000000" w:themeColor="text1"/>
          <w:sz w:val="28"/>
          <w:szCs w:val="28"/>
        </w:rPr>
      </w:r>
    </w:p>
    <w:p>
      <w:pPr>
        <w:ind w:left="0" w:right="0" w:firstLine="0"/>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«Комиссия также рассматривает ходатайства о присвоении имен погибших при защите Отечества государственным организациям, учредителем которых является Республика Татарстан, в порядке, установленном Кабинетом Министров Республики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4) в пункте 5:</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абзац первый дополнить словами «, а также ходатайств о присвоении имен погибших при защите Отечества государственным организациям, учредителем которых является Республика Татарстан, поступающих от органов государственной власти Республики Татарстан, общест</w:t>
      </w:r>
      <w:r>
        <w:rPr>
          <w:rFonts w:ascii="Times New Roman" w:hAnsi="Times New Roman" w:eastAsia="Times New Roman" w:cs="Times New Roman"/>
          <w:color w:val="000000" w:themeColor="text1"/>
          <w:sz w:val="28"/>
          <w:szCs w:val="28"/>
        </w:rPr>
        <w:t xml:space="preserve">венно-государственных объединений, общественных объединений, организаций»;</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слово «граждан» исключить;</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дополнить абзацем следующего содержания:</w:t>
      </w:r>
      <w:r>
        <w:rPr>
          <w:rFonts w:ascii="Times New Roman" w:hAnsi="Times New Roman" w:eastAsia="Times New Roman" w:cs="Times New Roman"/>
          <w:color w:val="000000" w:themeColor="text1"/>
          <w:sz w:val="28"/>
          <w:szCs w:val="28"/>
        </w:rPr>
      </w:r>
    </w:p>
    <w:p>
      <w:pPr>
        <w:ind w:left="0" w:right="0" w:firstLine="0"/>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«рассмотрение ходатайств о присвоении имен погибших при защите Отечества государственным организациям, учредителем которых является Республика Татарстан, и подготовка предложений Кабинету Министров Республики Татарстан по результатам их рассмотрения;»;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5) пункт 8 дополнить абзацем следующего содержания:</w:t>
      </w:r>
      <w:r>
        <w:rPr>
          <w:rFonts w:ascii="Times New Roman" w:hAnsi="Times New Roman" w:eastAsia="Times New Roman" w:cs="Times New Roman"/>
          <w:color w:val="000000" w:themeColor="text1"/>
          <w:sz w:val="28"/>
          <w:szCs w:val="28"/>
        </w:rPr>
      </w:r>
    </w:p>
    <w:p>
      <w:pPr>
        <w:ind w:left="0" w:right="0" w:firstLine="0"/>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«требования, предусмотренные абзацами вторым – пятым настоящего пункта, не распространяются на случаи присвоения имен погибших при защите Отечества государственным организациям, учредителем которых является Республика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6) дополнить пунктами 14–16 следующего содержания:</w:t>
      </w:r>
      <w:r>
        <w:rPr>
          <w:rFonts w:ascii="Times New Roman" w:hAnsi="Times New Roman" w:eastAsia="Times New Roman" w:cs="Times New Roman"/>
          <w:color w:val="000000" w:themeColor="text1"/>
          <w:sz w:val="28"/>
          <w:szCs w:val="28"/>
        </w:rPr>
      </w:r>
    </w:p>
    <w:p>
      <w:pPr>
        <w:ind w:left="0" w:right="0" w:firstLine="0"/>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«14. Порядок рассмотрения Комиссией вопросов, указанных в пункте 4 настоящего Положения. Комиссия рассматривает ходатайства, поступающие от государственных организаций, общественных объединений и юридических лиц. Ходатайства от частных лиц, включая родстве</w:t>
      </w:r>
      <w:r>
        <w:rPr>
          <w:rFonts w:ascii="Times New Roman" w:hAnsi="Times New Roman" w:eastAsia="Times New Roman" w:cs="Times New Roman"/>
          <w:color w:val="000000" w:themeColor="text1"/>
          <w:sz w:val="28"/>
          <w:szCs w:val="28"/>
        </w:rPr>
        <w:t xml:space="preserve">нников, Комиссией непосредственно не рассматриваются. Физическое лицо подает ходатайство с полным пакетом документов в адрес министерства (ведомства), органа местного самоуправления, общественной организации по месту работы лица, память которого планируетс</w:t>
      </w:r>
      <w:r>
        <w:rPr>
          <w:rFonts w:ascii="Times New Roman" w:hAnsi="Times New Roman" w:eastAsia="Times New Roman" w:cs="Times New Roman"/>
          <w:color w:val="000000" w:themeColor="text1"/>
          <w:sz w:val="28"/>
          <w:szCs w:val="28"/>
        </w:rPr>
        <w:t xml:space="preserve">я увековечить. Ведомство, в которое поступило ходатайство, направляет запрос для проверки достоверности указанных сведений и исторических данных в Государственный комитет Республики Татарстан по архивному делу. После проверки информации ведомство, в которо</w:t>
      </w:r>
      <w:r>
        <w:rPr>
          <w:rFonts w:ascii="Times New Roman" w:hAnsi="Times New Roman" w:eastAsia="Times New Roman" w:cs="Times New Roman"/>
          <w:color w:val="000000" w:themeColor="text1"/>
          <w:sz w:val="28"/>
          <w:szCs w:val="28"/>
        </w:rPr>
        <w:t xml:space="preserve">е поступило ходатайство, направляет полный пакет документов в Комиссию для рассмотрения и вынесения вопроса на ее заседание.</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15. Перечень необходимых документов для представления в Комиссию с целью дальнейшего рассмотрения (в зависимости от формы увековечивания):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15.1. В случае установки памятников (бюстов), стел, обелисков, мемориальных досок, памятных знаков, других мемориальных сооружений и объектов, увековечивающих память выдающихся личностей и знаменательных событий в Республике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 ходатайство с развернутым обоснованием необходимости установления мемориального объекта;</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2) полная биографическая или историческая справка на основании официальных документов, копии архивных и других документов, подтверждающих достоверность события и даты или заслуги лица;</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3) проект текста на мемориальном объекте на государственных языках Республики Татарстан (татарском и русском), утвержденный специалистами Института языка, литературы и искусства им. Г. Ибрагимова Академии наук Республики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4) цветной эскиз мемориального объекта с указанием размеров, шрифтов и материала, из которого он будет изготовлен; макет в мягком материале в масштабе 1:1 с детально проработанным (без искажений) изображением и текстом в случае выполнения объемных изображе</w:t>
      </w:r>
      <w:r>
        <w:rPr>
          <w:rFonts w:ascii="Times New Roman" w:hAnsi="Times New Roman" w:eastAsia="Times New Roman" w:cs="Times New Roman"/>
          <w:color w:val="000000" w:themeColor="text1"/>
          <w:sz w:val="28"/>
          <w:szCs w:val="28"/>
        </w:rPr>
        <w:t xml:space="preserve">ний;</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5) сведения о предполагаемом месте установления мемориального объекта (фотографии здания, сооружения, интерьера помещения с указанием точного места установки);</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6) проект установки мемориального объекта с описанием метода и технологии установки;</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7) согласие пользователя или собственника дома (здания, земельного участка) на установление мемориального объекта;</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8) справка или иной документ из соответствующих жилищно-эксплуатационных предприятий (организаций), подтверждающий период проживания (работы) в данном здании лица, память которого увековечивается (в случае установки мемориальной доски);</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9) общая смета расходов на проектирование, изготовление и установку объекта, а также сведения об источниках финансирования;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10) гарантийное письмо инициатора с обязательством об оплате мероприятий по проектированию, изготовлению, установке и обеспечению торжественного открытия мемориального объекта;</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11) письменное согласование представительного органа поселения и главы муниципального района (в случае установления на территории муниципального района) либо согласование представительного органа и главы городского округа.</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15.2. В случае присвоения имен выдающихся личностей и знаменательных событий в Республике Татарстан физико-географическим объектам, улицам и площадям, проспектам и аллеям, другим градостроительным объектам, организациям (в т.ч. образовательным), а также ме</w:t>
      </w:r>
      <w:r>
        <w:rPr>
          <w:rFonts w:ascii="Times New Roman" w:hAnsi="Times New Roman" w:eastAsia="Times New Roman" w:cs="Times New Roman"/>
          <w:color w:val="000000" w:themeColor="text1"/>
          <w:sz w:val="28"/>
          <w:szCs w:val="28"/>
        </w:rPr>
        <w:t xml:space="preserve">роприятиям:</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 ходатайство с развернутым обоснованием необходимости присвоения имени;</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2) полная биографическая или историческая справка, подтверждающая выдающиеся заслуги лица или значимость события;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3) проект наименования объекта (организации, мероприятия) на государственных языках Республики Татарстан (татарском и русском), утвержденный специалистами Института языка, литературы и искусства им. Г. Ибрагимова Академии наук Республики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4) согласие (заключение) коллегиального органа организации, которой предлагается присвоить имя (совета, ученого совета, педагогического совета и т.д.) — в случае присвоения имени организации;</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5) картографические материалы с указанием местоположения объекта — в случае присвоения имени градостроительным или физико-географическим объектам;</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6) письменное согласие родственников (членов семьи) умершего на увековечение его памяти и использование персональных данных (при их наличии и возможности получения);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7) общая смета расходов, связанных с присвоением имени (переименованием), включая замену вывесок, печатей, бланков, учредительных документов, аншлагов на улицах, с указанием источников финансирования;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8) письменное согласование органа местного самоуправления соответствующего муниципального образования.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15.3. В случае создания мемориальных музеев, посвященных выдающимся личностям и знаменательным событиям в Республике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 ходатайство с развернутым обоснованием целесообразности создания мемориального музея;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2) историко-биографическая справка, подтверждающая масштабность личности или события;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3) концепция создания мемориального музея (с кратким описанием планируемой экспозиции, тематической структуры и фондовых коллекций);</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4) сведения о предполагаемом месте размещения музея (с приложением фотографий здания и помещений, планов БТИ);</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5) согласие собственника здания (помещения) на размещение мемориального музея;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6) общая смета расходов на проектирование, ремонт (реставрацию) помещений, создание экспозиции и содержание музея, а также сведения об источниках финансирования;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7) письменное согласование органа местного самоуправления (в случае создания муниципального музея) или профильного министерства (ведомства).</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15.4. В случае подачи ходатайства о присвоении имен погибших при защите Отечества государственным организациям, учредителем которых является Республика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 ходатайство инициатора;</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2) копии документов, подтверждающих достоверность заслуг погибшего при защите Отечества, имя которого предлагается увековечить, установленных Законом Республики Татарстан, — в том числе копии документов, подтверждающих, что указанное лицо родилось, прожива</w:t>
      </w:r>
      <w:r>
        <w:rPr>
          <w:rFonts w:ascii="Times New Roman" w:hAnsi="Times New Roman" w:eastAsia="Times New Roman" w:cs="Times New Roman"/>
          <w:color w:val="000000" w:themeColor="text1"/>
          <w:sz w:val="28"/>
          <w:szCs w:val="28"/>
        </w:rPr>
        <w:t xml:space="preserve">ло либо захоронено на территории Республики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3) историческая или историко-биографическая справка об увековечиваемом лице, содержащая сведения о его жизни, службе (трудовой деятельности), обстоятельствах гибели (смерти), совершенном подвиге, заслугах перед Отечеством;</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4) копии архивных, наградных, воинских и иных документов, подтверждающих достоверность сведений об увековечиваемом лице, об обстоятельствах его гибели (смерти) и заслугах;</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5) копия документа, подтверждающего гибель (смерть) увековечиваемого лица при защите Отечества (извещение о гибели, свидетельство о смерти, справка военного комиссариата, справка из архивного учреждения, иной документ);</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6) обоснование связи увековечиваемого лица с Республикой Татарстан и с государственной организацией, которой предлагается присвоить имя;</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7) письменное согласие родственников (членов семьи) умершего (погибшего) на увековечение его памяти, а также на обработку и распространение его персональных данных в связи с присвоением имени, и согласие близких родственников (при их наличии и возможности </w:t>
      </w:r>
      <w:r>
        <w:rPr>
          <w:rFonts w:ascii="Times New Roman" w:hAnsi="Times New Roman" w:eastAsia="Times New Roman" w:cs="Times New Roman"/>
          <w:color w:val="000000" w:themeColor="text1"/>
          <w:sz w:val="28"/>
          <w:szCs w:val="28"/>
        </w:rPr>
        <w:t xml:space="preserve">получения согласия). Указанное согласие не требуется, если инициатором является родственник (член семьи) погибшего;</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8) согласие (заключение) коллегиального органа государственной организации, которой предлагается присвоить имя (совета, ученого совета, педагогического совета, иного коллегиального органа), а для государственных образовательных организаций — решение, приня</w:t>
      </w:r>
      <w:r>
        <w:rPr>
          <w:rFonts w:ascii="Times New Roman" w:hAnsi="Times New Roman" w:eastAsia="Times New Roman" w:cs="Times New Roman"/>
          <w:color w:val="000000" w:themeColor="text1"/>
          <w:sz w:val="28"/>
          <w:szCs w:val="28"/>
        </w:rPr>
        <w:t xml:space="preserve">тое в порядке, установленном статьей 26 Федерального закона от 29.12.2012 № 273-ФЗ «Об образовании в Российской Федерации»;</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9) проект наименования государственной организации с именем увековечиваемого лица, изложенный на государственных языках Республики Татарстан — татарском и русском, утвержденный специалистами Института языка, литературы и искусства им. Г. Ибрагимова Академи</w:t>
      </w:r>
      <w:r>
        <w:rPr>
          <w:rFonts w:ascii="Times New Roman" w:hAnsi="Times New Roman" w:eastAsia="Times New Roman" w:cs="Times New Roman"/>
          <w:color w:val="000000" w:themeColor="text1"/>
          <w:sz w:val="28"/>
          <w:szCs w:val="28"/>
        </w:rPr>
        <w:t xml:space="preserve">и наук Республики Татарстан;</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10) информация (сведения) о предполагаемом источнике финансирования мероприятий, связанных с присвоением имени погибшего при защите Отечества (переименованием организации), с указанием объема финансирования (в том числе изготовление и замена вывесок, печат</w:t>
      </w:r>
      <w:r>
        <w:rPr>
          <w:rFonts w:ascii="Times New Roman" w:hAnsi="Times New Roman" w:eastAsia="Times New Roman" w:cs="Times New Roman"/>
          <w:color w:val="000000" w:themeColor="text1"/>
          <w:sz w:val="28"/>
          <w:szCs w:val="28"/>
        </w:rPr>
        <w:t xml:space="preserve">ей, штампов, бланков, учредительных документов, иной документации);</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11) копии документов, предусмотренных настоящим пунктом, должны быть заверены инициатором либо нотариально.</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16. По вопросам присвоения имен погибших при защите Отечества государственным организациям, учредителем которых является Республика Татарстан, Комиссия осуществляет свои полномочия с учетом Единых рекомендаций по увековечению памяти защитников Отечества, в</w:t>
      </w:r>
      <w:r>
        <w:rPr>
          <w:rFonts w:ascii="Times New Roman" w:hAnsi="Times New Roman" w:eastAsia="Times New Roman" w:cs="Times New Roman"/>
          <w:color w:val="000000" w:themeColor="text1"/>
          <w:sz w:val="28"/>
          <w:szCs w:val="28"/>
        </w:rPr>
        <w:t xml:space="preserve"> том числе погибших (умерших) участников специальной военной операции, утвержденных Правительством Российской Федерации 30 августа 2025 года № МД-П4-32257.»</w:t>
      </w:r>
      <w:r>
        <w:rPr>
          <w:rFonts w:ascii="Times New Roman" w:hAnsi="Times New Roman" w:eastAsia="Times New Roman" w:cs="Times New Roman"/>
          <w:color w:val="000000" w:themeColor="text1"/>
          <w:sz w:val="28"/>
          <w:szCs w:val="28"/>
        </w:rPr>
      </w:r>
    </w:p>
    <w:p>
      <w:pPr>
        <w:ind w:left="0" w:right="0" w:firstLine="708"/>
        <w:shd w:val="clear" w:color="ffffff" w:fill="ffffff"/>
        <w:rPr>
          <w:rFonts w:ascii="Times New Roman" w:hAnsi="Times New Roman" w:cs="Times New Roman"/>
          <w:color w:val="000000" w:themeColor="text1"/>
          <w:sz w:val="28"/>
          <w:szCs w:val="28"/>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themeColor="text1"/>
          <w:sz w:val="28"/>
          <w:szCs w:val="28"/>
        </w:rPr>
        <w:t xml:space="preserve">1.2. Состав Межведомственной комиссии по увековечению памяти выдающихся личностей и знаменательных событий в Республике Татарстан, утвержденный указанным постановлением, изложить в новой редакции:</w:t>
      </w:r>
      <w:r>
        <w:rPr>
          <w:rFonts w:ascii="Times New Roman" w:hAnsi="Times New Roman" w:eastAsia="Times New Roman" w:cs="Times New Roman"/>
          <w:color w:val="000000" w:themeColor="text1"/>
          <w:sz w:val="28"/>
          <w:szCs w:val="28"/>
        </w:rPr>
      </w:r>
    </w:p>
    <w:p>
      <w:pPr>
        <w:ind w:left="0" w:right="0" w:firstLine="0"/>
        <w:shd w:val="clear" w:color="ffffff" w:themeColor="background1" w:fill="ffffff" w:themeFill="background1"/>
        <w:rPr>
          <w:rFonts w:ascii="Times New Roman" w:hAnsi="Times New Roman" w:eastAsia="Times New Roman" w:cs="Times New Roman"/>
          <w:b w:val="0"/>
          <w:bCs w:val="0"/>
          <w:color w:val="000000" w:themeColor="text1"/>
          <w:sz w:val="28"/>
          <w:szCs w:val="28"/>
          <w:highlight w:val="none"/>
        </w:rPr>
        <w:pBdr>
          <w:top w:val="single" w:color="E5E7EB" w:sz="0" w:space="0"/>
          <w:left w:val="single" w:color="E5E7EB" w:sz="0" w:space="0"/>
          <w:bottom w:val="single" w:color="E5E7EB" w:sz="0" w:space="0"/>
          <w:right w:val="single" w:color="E5E7EB" w:sz="0" w:space="0"/>
        </w:pBdr>
      </w:pPr>
      <w:r>
        <w:rPr>
          <w:rFonts w:ascii="Times New Roman" w:hAnsi="Times New Roman" w:eastAsia="Times New Roman" w:cs="Times New Roman"/>
          <w:b w:val="0"/>
          <w:bCs w:val="0"/>
          <w:color w:val="000000" w:themeColor="text1"/>
          <w:sz w:val="28"/>
          <w:szCs w:val="28"/>
          <w:highlight w:val="none"/>
        </w:rPr>
      </w:r>
    </w:p>
    <w:p>
      <w:pPr>
        <w:ind w:left="0" w:right="0" w:firstLine="0"/>
        <w:shd w:val="clear" w:color="ffffff" w:themeColor="background1" w:fill="ffffff" w:themeFill="background1"/>
        <w:rPr>
          <w:rFonts w:ascii="Times New Roman" w:hAnsi="Times New Roman" w:cs="Times New Roman"/>
          <w:b w:val="0"/>
          <w:bCs w:val="0"/>
          <w:color w:val="000000" w:themeColor="text1"/>
          <w:sz w:val="28"/>
          <w:szCs w:val="28"/>
        </w:rPr>
        <w:pBdr>
          <w:top w:val="single" w:color="E5E7EB" w:sz="0" w:space="0"/>
          <w:left w:val="single" w:color="E5E7EB" w:sz="0" w:space="0"/>
          <w:bottom w:val="single" w:color="E5E7EB" w:sz="0" w:space="0"/>
          <w:right w:val="single" w:color="E5E7EB" w:sz="0" w:space="0"/>
        </w:pBdr>
      </w:pP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bl>
      <w:tblPr>
        <w:tblW w:w="0" w:type="auto"/>
        <w:tblInd w:w="0" w:type="dxa"/>
        <w:tblLayout w:type="fixed"/>
        <w:tblCellMar>
          <w:left w:w="62" w:type="dxa"/>
          <w:top w:w="102" w:type="dxa"/>
          <w:right w:w="62" w:type="dxa"/>
          <w:bottom w:w="102" w:type="dxa"/>
        </w:tblCellMar>
        <w:tblLook w:val="04A0" w:firstRow="1" w:lastRow="0" w:firstColumn="1" w:lastColumn="0" w:noHBand="0" w:noVBand="1"/>
      </w:tblPr>
      <w:tblGrid>
        <w:gridCol w:w="2909"/>
        <w:gridCol w:w="7145"/>
      </w:tblGrid>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Фазлеева Лейла Ринатовна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заместитель Премьер-министра Республики Татарстан, председатель комиссии</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vMerge w:val="restart"/>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Салахова Алсиня Вазигулловна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vMerge w:val="restart"/>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помощник заместителя Премьер-министра Республики Татарстан, секретарь  комиссии</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Маврина Лилия Николаевна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Секретарь Государственного Совета Республики Татарстан, заместитель председателя комиссии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126"/>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Савельев Игорь Леонидович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заместитель Руководителя Администрации Раиса Республики Татарстан - руководитель Экспертного департамента Раиса Республики Татарстан, заместитель председателя комиссии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843"/>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Низамова Ляйсан Гаптелхановна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начальник Управления культуры и развития языков народов Республики Татарстан Аппарата Кабинета Министров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276"/>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Члены комиссии:</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126"/>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Ахмадиева Роза Шайхайдаровна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ректор федерального государственного бюджетного образовательного учреждения высшего образования "Казанский государственный институт культуры"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Аюпова Ирада Хафизяновна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министр культуры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616"/>
        </w:trPr>
        <w:tc>
          <w:tcPr>
            <w:tcBorders>
              <w:top w:val="none" w:color="000000" w:sz="4" w:space="0"/>
              <w:left w:val="none" w:color="000000" w:sz="4" w:space="0"/>
              <w:bottom w:val="none" w:color="000000" w:sz="4" w:space="0"/>
              <w:right w:val="none" w:color="000000" w:sz="4" w:space="0"/>
            </w:tcBorders>
            <w:tcW w:w="2909" w:type="dxa"/>
            <w:vMerge w:val="restart"/>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r>
            <w:r>
              <w:rPr>
                <w:rFonts w:ascii="Times New Roman" w:hAnsi="Times New Roman" w:eastAsia="Times New Roman" w:cs="Times New Roman"/>
                <w:b w:val="0"/>
                <w:bCs w:val="0"/>
                <w:color w:val="000000" w:themeColor="text1"/>
                <w:sz w:val="28"/>
                <w:szCs w:val="28"/>
              </w:rPr>
              <w:t xml:space="preserve">Абзалов Азат Искандарович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vMerge w:val="restart"/>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r>
            <w:r>
              <w:rPr>
                <w:rFonts w:ascii="Times New Roman" w:hAnsi="Times New Roman" w:eastAsia="Times New Roman" w:cs="Times New Roman"/>
                <w:b w:val="0"/>
                <w:bCs w:val="0"/>
                <w:color w:val="000000" w:themeColor="text1"/>
                <w:sz w:val="28"/>
                <w:szCs w:val="28"/>
                <w:highlight w:val="white"/>
              </w:rPr>
              <w:t xml:space="preserve">Заместитель руководителя исполкома г. Казани по социальным вопросам. </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843"/>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Белицкая Жанна Владимировна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заместитель начальника Управления архитектуры и градостроительства Казани - начальник отдела городского дизайна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Беляев Юрий Михайлович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военный комиссар Республики Татарстан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491"/>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Бородин Александр Ильич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председатель Республиканской общественной организации ветеранов (инвалидов) "Союз ветеранов Республики Татарстан" Общероссийской общественной организации ветеранов "Российский союз ветеранов"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145"/>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Валиуллин Ренат Накифович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r>
            <w:r>
              <w:rPr>
                <w:rFonts w:ascii="Times New Roman" w:hAnsi="Times New Roman" w:eastAsia="Times New Roman" w:cs="Times New Roman"/>
                <w:b w:val="0"/>
                <w:bCs w:val="0"/>
                <w:color w:val="000000" w:themeColor="text1"/>
                <w:sz w:val="28"/>
                <w:szCs w:val="28"/>
                <w:highlight w:val="white"/>
              </w:rPr>
              <w:t xml:space="preserve">Член Комитета Государственного Совета Республики Татарстан по государственному строительству и местному самоуправлению</w:t>
            </w:r>
            <w:r>
              <w:rPr>
                <w:rFonts w:ascii="Times New Roman" w:hAnsi="Times New Roman" w:eastAsia="Times New Roman" w:cs="Times New Roman"/>
                <w:b w:val="0"/>
                <w:bCs w:val="0"/>
                <w:color w:val="000000" w:themeColor="text1"/>
                <w:sz w:val="28"/>
                <w:szCs w:val="28"/>
              </w:rPr>
              <w:t xml:space="preserve">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072"/>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ind w:left="0" w:right="0" w:firstLine="0"/>
              <w:jc w:val="left"/>
              <w:spacing w:line="240" w:lineRule="auto"/>
              <w:shd w:val="clear" w:color="ffffff" w:fill="ffffff"/>
              <w:rPr>
                <w:rFonts w:ascii="Times New Roman" w:hAnsi="Times New Roman" w:cs="Times New Roman"/>
                <w:b w:val="0"/>
                <w:bCs w:val="0"/>
                <w:color w:val="000000" w:themeColor="text1"/>
                <w:sz w:val="28"/>
                <w:szCs w:val="28"/>
                <w:u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val="0"/>
                <w:bCs w:val="0"/>
                <w:color w:val="000000" w:themeColor="text1"/>
                <w:sz w:val="28"/>
                <w:szCs w:val="28"/>
                <w:highlight w:val="none"/>
                <w:u w:val="none"/>
              </w:rPr>
              <w:t xml:space="preserve">Терентьев</w:t>
            </w:r>
            <w:r>
              <w:rPr>
                <w:rFonts w:ascii="Times New Roman" w:hAnsi="Times New Roman" w:eastAsia="Times New Roman" w:cs="Times New Roman"/>
                <w:b w:val="0"/>
                <w:bCs w:val="0"/>
                <w:color w:val="000000" w:themeColor="text1"/>
                <w:sz w:val="28"/>
                <w:szCs w:val="28"/>
                <w:u w:val="none"/>
              </w:rPr>
            </w:r>
            <w:r>
              <w:rPr>
                <w:rFonts w:ascii="Times New Roman" w:hAnsi="Times New Roman" w:cs="Times New Roman"/>
                <w:b w:val="0"/>
                <w:bCs w:val="0"/>
                <w:color w:val="000000" w:themeColor="text1"/>
                <w:sz w:val="28"/>
                <w:szCs w:val="28"/>
                <w:u w:val="none"/>
              </w:rPr>
            </w:r>
          </w:p>
          <w:p>
            <w:pPr>
              <w:ind w:left="0" w:right="0" w:firstLine="0"/>
              <w:jc w:val="left"/>
              <w:spacing w:before="0" w:after="0" w:line="240" w:lineRule="auto"/>
              <w:shd w:val="clear" w:color="ffffff" w:fill="ffffff"/>
              <w:rPr>
                <w:rFonts w:ascii="Times New Roman" w:hAnsi="Times New Roman" w:cs="Times New Roman"/>
                <w:b w:val="0"/>
                <w:bCs w:val="0"/>
                <w:color w:val="000000" w:themeColor="text1"/>
                <w:sz w:val="28"/>
                <w:szCs w:val="28"/>
                <w:u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val="0"/>
                <w:bCs w:val="0"/>
                <w:color w:val="000000" w:themeColor="text1"/>
                <w:sz w:val="28"/>
                <w:szCs w:val="28"/>
                <w:u w:val="none"/>
              </w:rPr>
            </w:r>
            <w:hyperlink r:id="rId11" w:tooltip="https://oprt.tatarstan.ru/terentev-aleksandr-mihaylovich-8884769.htm" w:history="1">
              <w:r>
                <w:rPr>
                  <w:rStyle w:val="881"/>
                  <w:rFonts w:ascii="Times New Roman" w:hAnsi="Times New Roman" w:eastAsia="Times New Roman" w:cs="Times New Roman"/>
                  <w:b w:val="0"/>
                  <w:bCs w:val="0"/>
                  <w:color w:val="000000" w:themeColor="text1"/>
                  <w:sz w:val="28"/>
                  <w:szCs w:val="28"/>
                  <w:u w:val="none"/>
                </w:rPr>
                <w:t xml:space="preserve">Александр Михайлович</w:t>
              </w:r>
            </w:hyperlink>
            <w:r>
              <w:rPr>
                <w:rFonts w:ascii="Times New Roman" w:hAnsi="Times New Roman" w:cs="Times New Roman"/>
                <w:b w:val="0"/>
                <w:bCs w:val="0"/>
                <w:color w:val="000000" w:themeColor="text1"/>
                <w:sz w:val="28"/>
                <w:szCs w:val="28"/>
                <w:u w:val="none"/>
              </w:rPr>
            </w:r>
            <w:r>
              <w:rPr>
                <w:rFonts w:ascii="Times New Roman" w:hAnsi="Times New Roman" w:cs="Times New Roman"/>
                <w:b w:val="0"/>
                <w:bCs w:val="0"/>
                <w:color w:val="000000" w:themeColor="text1"/>
                <w:sz w:val="28"/>
                <w:szCs w:val="28"/>
                <w:u w:val="none"/>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u w:val="none"/>
              </w:rPr>
            </w:pPr>
            <w:r>
              <w:rPr>
                <w:rFonts w:ascii="Times New Roman" w:hAnsi="Times New Roman" w:eastAsia="Times New Roman" w:cs="Times New Roman"/>
                <w:b w:val="0"/>
                <w:bCs w:val="0"/>
                <w:color w:val="000000" w:themeColor="text1"/>
                <w:sz w:val="28"/>
                <w:szCs w:val="28"/>
                <w:u w:val="none"/>
              </w:rPr>
              <w:t xml:space="preserve">председатель Общественной палаты Республики Татарстан (по согласованию)</w:t>
            </w:r>
            <w:r>
              <w:rPr>
                <w:rFonts w:ascii="Times New Roman" w:hAnsi="Times New Roman" w:eastAsia="Times New Roman" w:cs="Times New Roman"/>
                <w:b w:val="0"/>
                <w:bCs w:val="0"/>
                <w:color w:val="000000" w:themeColor="text1"/>
                <w:sz w:val="28"/>
                <w:szCs w:val="28"/>
                <w:u w:val="none"/>
              </w:rPr>
            </w:r>
            <w:r>
              <w:rPr>
                <w:rFonts w:ascii="Times New Roman" w:hAnsi="Times New Roman" w:cs="Times New Roman"/>
                <w:b w:val="0"/>
                <w:bCs w:val="0"/>
                <w:color w:val="000000" w:themeColor="text1"/>
                <w:sz w:val="28"/>
                <w:szCs w:val="28"/>
                <w:u w:val="none"/>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Габдрахманова Гульнара Закариевна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председатель Государственного комитета Республики Татарстан по архивному делу</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409"/>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Галимова Эльмира Мунировна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r>
            <w:r>
              <w:rPr>
                <w:rFonts w:ascii="Times New Roman" w:hAnsi="Times New Roman" w:eastAsia="Times New Roman" w:cs="Times New Roman"/>
                <w:b w:val="0"/>
                <w:bCs w:val="0"/>
                <w:color w:val="000000" w:themeColor="text1"/>
                <w:sz w:val="28"/>
                <w:szCs w:val="28"/>
              </w:rPr>
              <w:t xml:space="preserve">руководитель (директор) обособленного структурного подразделения государственного научного бюджетного учреждения "Академия наук Республики Татарстан" "Институт татарской энциклопедии и регионоведения Академии наук Республики Татарстан"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Гафаров Рустем Гильфанович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руководитель Исполнительного комитета муниципального образования г. Казани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Губайдуллин Экзам Саматович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председатель Ассоциации "Совет муниципальных образований Республики Татарстан"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Гущин Иван Николаевич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председатель Комитета Республики Татарстан по охране объектов культурного наследия</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Долгов Марат Шамилевич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начальник Правового управления Аппарата Кабинета Министров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Загидуллин Рустем Ильдусович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министр юстиции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843"/>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Зарипов Айрат Ринатович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председатель Комитета Государственного Совета Республики Татарстан по образованию, культуре, науке и национальным вопросам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Зарипова Эльмира Амировна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министр труда, занятости и социальной защиты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r>
            <w:r>
              <w:rPr>
                <w:rFonts w:ascii="Times New Roman" w:hAnsi="Times New Roman" w:eastAsia="Times New Roman" w:cs="Times New Roman"/>
                <w:b w:val="0"/>
                <w:bCs w:val="0"/>
                <w:color w:val="000000" w:themeColor="text1"/>
                <w:sz w:val="28"/>
                <w:szCs w:val="28"/>
                <w:highlight w:val="white"/>
              </w:rPr>
              <w:t xml:space="preserve">Нагуманова </w:t>
            </w:r>
            <w:r>
              <w:rPr>
                <w:rFonts w:ascii="Times New Roman" w:hAnsi="Times New Roman" w:eastAsia="Times New Roman" w:cs="Times New Roman"/>
                <w:b w:val="0"/>
                <w:bCs w:val="0"/>
                <w:color w:val="000000" w:themeColor="text1"/>
                <w:sz w:val="28"/>
                <w:szCs w:val="28"/>
              </w:rPr>
              <w:t xml:space="preserve"> Наиля Мудамилевна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директор фонда "Институт развития городов Республики Татарстан"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843"/>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Иштиряков Хабир Газизович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председатель Региональной общественной организации ветеранов (пенсионеров) Республики Татарстан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Карпов Родион Михайлович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Первый заместитель министра промышленности и торговли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843"/>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Лаврентьев Александр Петрович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президент Ассоциации предприятий и промышленников Республики Татарстан (регионального объединения работодателей)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843"/>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Минниханов Рифкат Нургалиевич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президент государственного научного бюджетного учреждения "Академия наук Республики Татарстан"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126"/>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Минзарипов Рияз Гатауллович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президент федерального государственного автономного образовательного учреждения высшего образования "Казанский (Приволжский) федеральный университет"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126"/>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Мухарлямов Руслан Робертович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заместитель Руководителя Администрации Раиса Республики Татарстан - руководитель Департамента Раиса Республики Татарстан по вопросам внутренней политики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Натфуллин Дамир Данилович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заместитель министра культуры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Сабурская Алина Викторовна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начальник Управления социального развития Аппарата Кабинета Министров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843"/>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Салахов Мякзюм Халимулович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член Комитета Государственного Совета Республики Татарстан по образованию, культуре, науке и национальным вопросам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Салимгараев Айдар Саитгараевич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руководитель Республиканского агентства по печати и массовым коммуникациям "Татмедиа"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126"/>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Салимов Айдар Тагирович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главный советник сектора по вопросам развития культуры и искусства Управления культуры и развития языков народов Республики Татарстан Аппарата Кабинета Министров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409"/>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Смирнова Любовь Евгеньевна</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председатель общественной благотворительной организации Героев Советского Союза, Героев Социалистического Труда, Героев России и полных кавалеров орденов Боевой и Трудовой Славы Республики Татарстан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560"/>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Хадиуллин Ильсур Гараевич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министр образования и науки Республики Татарстан</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843"/>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Харисов Ренат Магсумович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народный поэт Республики Татарстан, член Совета при Президенте Российской Федерации по культуре и искусству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r>
        <w:tblPrEx/>
        <w:trPr>
          <w:trHeight w:val="1592"/>
        </w:trPr>
        <w:tc>
          <w:tcPr>
            <w:tcBorders>
              <w:top w:val="none" w:color="000000" w:sz="4" w:space="0"/>
              <w:left w:val="none" w:color="000000" w:sz="4" w:space="0"/>
              <w:bottom w:val="none" w:color="000000" w:sz="4" w:space="0"/>
              <w:right w:val="none" w:color="000000" w:sz="4" w:space="0"/>
            </w:tcBorders>
            <w:tcW w:w="2909" w:type="dxa"/>
            <w:textDirection w:val="lrTb"/>
            <w:noWrap w:val="false"/>
          </w:tcPr>
          <w:p>
            <w:pPr>
              <w:pStyle w:val="903"/>
              <w:jc w:val="left"/>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t xml:space="preserve">Шакиров Данис Фанисович</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c>
          <w:tcPr>
            <w:tcBorders>
              <w:top w:val="none" w:color="000000" w:sz="4" w:space="0"/>
              <w:left w:val="none" w:color="000000" w:sz="4" w:space="0"/>
              <w:bottom w:val="none" w:color="000000" w:sz="4" w:space="0"/>
              <w:right w:val="none" w:color="000000" w:sz="4" w:space="0"/>
            </w:tcBorders>
            <w:tcW w:w="7145" w:type="dxa"/>
            <w:textDirection w:val="lrTb"/>
            <w:noWrap w:val="false"/>
          </w:tcPr>
          <w:p>
            <w:pPr>
              <w:pStyle w:val="903"/>
              <w:jc w:val="both"/>
              <w:spacing w:line="240" w:lineRule="auto"/>
              <w:rPr>
                <w:rFonts w:ascii="Times New Roman" w:hAnsi="Times New Roman" w:cs="Times New Roman"/>
                <w:b w:val="0"/>
                <w:bCs w:val="0"/>
                <w:color w:val="000000" w:themeColor="text1"/>
                <w:sz w:val="28"/>
                <w:szCs w:val="28"/>
              </w:rPr>
            </w:pPr>
            <w:r>
              <w:rPr>
                <w:rFonts w:ascii="Times New Roman" w:hAnsi="Times New Roman" w:eastAsia="Times New Roman" w:cs="Times New Roman"/>
                <w:b w:val="0"/>
                <w:bCs w:val="0"/>
                <w:color w:val="000000" w:themeColor="text1"/>
                <w:sz w:val="28"/>
                <w:szCs w:val="28"/>
              </w:rPr>
            </w:r>
            <w:r>
              <w:rPr>
                <w:rFonts w:ascii="Times New Roman" w:hAnsi="Times New Roman" w:eastAsia="Times New Roman" w:cs="Times New Roman"/>
                <w:b w:val="0"/>
                <w:bCs w:val="0"/>
                <w:color w:val="000000" w:themeColor="text1"/>
                <w:sz w:val="28"/>
                <w:szCs w:val="28"/>
                <w:highlight w:val="none"/>
              </w:rPr>
              <w:t xml:space="preserve">ч</w:t>
            </w:r>
            <w:r>
              <w:rPr>
                <w:rFonts w:ascii="Times New Roman" w:hAnsi="Times New Roman" w:eastAsia="Times New Roman" w:cs="Times New Roman"/>
                <w:b w:val="0"/>
                <w:bCs w:val="0"/>
                <w:color w:val="000000" w:themeColor="text1"/>
                <w:sz w:val="28"/>
                <w:szCs w:val="28"/>
                <w:highlight w:val="white"/>
              </w:rPr>
              <w:t xml:space="preserve">лен Комитета Государственного Совета Республики Татарстан по образованию, культуре, науке и национальным вопросам</w:t>
            </w:r>
            <w:r>
              <w:rPr>
                <w:rFonts w:ascii="Times New Roman" w:hAnsi="Times New Roman" w:eastAsia="Times New Roman" w:cs="Times New Roman"/>
                <w:b w:val="0"/>
                <w:bCs w:val="0"/>
                <w:color w:val="000000" w:themeColor="text1"/>
                <w:sz w:val="28"/>
                <w:szCs w:val="28"/>
                <w:highlight w:val="none"/>
              </w:rPr>
              <w:t xml:space="preserve">, </w:t>
            </w:r>
            <w:r>
              <w:rPr>
                <w:rFonts w:ascii="Times New Roman" w:hAnsi="Times New Roman" w:eastAsia="Times New Roman" w:cs="Times New Roman"/>
                <w:b w:val="0"/>
                <w:bCs w:val="0"/>
                <w:color w:val="000000" w:themeColor="text1"/>
                <w:sz w:val="28"/>
                <w:szCs w:val="28"/>
              </w:rPr>
              <w:t xml:space="preserve">председатель Исполнительного комитета Всемирного конгресса татар (по согласованию)</w:t>
            </w:r>
            <w:r>
              <w:rPr>
                <w:rFonts w:ascii="Times New Roman" w:hAnsi="Times New Roman" w:eastAsia="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tc>
      </w:tr>
    </w:tbl>
    <w:p>
      <w:pPr>
        <w:ind w:left="0" w:right="0" w:firstLine="0"/>
        <w:shd w:val="clear" w:color="ffffff" w:themeColor="background1" w:fill="ffffff" w:themeFill="background1"/>
        <w:rPr>
          <w:rFonts w:ascii="Times New Roman" w:hAnsi="Times New Roman" w:cs="Times New Roman"/>
          <w:b w:val="0"/>
          <w:bCs w:val="0"/>
          <w:color w:val="000000" w:themeColor="text1"/>
          <w:sz w:val="28"/>
          <w:szCs w:val="28"/>
        </w:rPr>
        <w:pBdr>
          <w:top w:val="single" w:color="E5E7EB" w:sz="0" w:space="0"/>
          <w:left w:val="single" w:color="E5E7EB" w:sz="0" w:space="0"/>
          <w:bottom w:val="single" w:color="E5E7EB" w:sz="0" w:space="0"/>
          <w:right w:val="single" w:color="E5E7EB" w:sz="0" w:space="0"/>
        </w:pBdr>
      </w:pP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r>
        <w:rPr>
          <w:rFonts w:ascii="Times New Roman" w:hAnsi="Times New Roman" w:cs="Times New Roman"/>
          <w:b w:val="0"/>
          <w:bCs w:val="0"/>
          <w:color w:val="000000" w:themeColor="text1"/>
          <w:sz w:val="28"/>
          <w:szCs w:val="28"/>
        </w:rPr>
      </w:r>
    </w:p>
    <w:p>
      <w:pPr>
        <w:ind w:left="0" w:right="0" w:firstLine="0"/>
        <w:spacing w:line="240" w:lineRule="auto"/>
        <w:shd w:val="clear" w:color="ffffff" w:themeColor="background1" w:fill="ffffff" w:themeFill="background1"/>
        <w:rPr>
          <w:rFonts w:ascii="Times New Roman" w:hAnsi="Times New Roman" w:eastAsia="Times New Roman" w:cs="Times New Roman"/>
          <w:color w:val="000000"/>
          <w:sz w:val="28"/>
          <w:szCs w:val="2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highlight w:val="none"/>
        </w:rPr>
      </w:r>
      <w:r>
        <w:rPr>
          <w:rFonts w:ascii="Times New Roman" w:hAnsi="Times New Roman" w:eastAsia="Times New Roman" w:cs="Times New Roman"/>
          <w:color w:val="000000"/>
          <w:sz w:val="28"/>
          <w:szCs w:val="28"/>
          <w:highlight w:val="none"/>
        </w:rPr>
      </w:r>
      <w:r>
        <w:rPr>
          <w:rFonts w:ascii="Times New Roman" w:hAnsi="Times New Roman" w:eastAsia="Times New Roman" w:cs="Times New Roman"/>
          <w:color w:val="000000"/>
          <w:sz w:val="28"/>
          <w:szCs w:val="28"/>
          <w:highlight w:val="none"/>
        </w:rPr>
      </w:r>
    </w:p>
    <w:p>
      <w:pPr>
        <w:ind w:left="0" w:right="0" w:firstLine="567"/>
        <w:spacing w:line="240" w:lineRule="auto"/>
        <w:shd w:val="clear" w:color="ffffff" w:themeColor="background1" w:fill="ffffff" w:themeFill="background1"/>
        <w:rPr>
          <w:rFonts w:ascii="Times New Roman" w:hAnsi="Times New Roman" w:eastAsia="Times New Roman" w:cs="Times New Roman"/>
          <w:color w:val="000000"/>
          <w:sz w:val="28"/>
          <w:szCs w:val="2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highlight w:val="white"/>
        </w:rPr>
      </w:r>
      <w:r>
        <w:rPr>
          <w:rFonts w:ascii="Times New Roman" w:hAnsi="Times New Roman" w:eastAsia="Times New Roman" w:cs="Times New Roman"/>
          <w:color w:val="000000"/>
          <w:sz w:val="28"/>
          <w:szCs w:val="28"/>
          <w:highlight w:val="white"/>
        </w:rPr>
        <w:t xml:space="preserve">2. </w:t>
      </w:r>
      <w:r>
        <w:rPr>
          <w:rFonts w:ascii="Times New Roman" w:hAnsi="Times New Roman" w:eastAsia="Times New Roman" w:cs="Times New Roman"/>
          <w:color w:val="000000"/>
          <w:sz w:val="28"/>
          <w:szCs w:val="28"/>
          <w:highlight w:val="white"/>
        </w:rPr>
        <w:t xml:space="preserve">Настоящее постановление вступает в силу со дня подписания.</w:t>
      </w:r>
      <w:r>
        <w:rPr>
          <w:rFonts w:ascii="Times New Roman" w:hAnsi="Times New Roman" w:eastAsia="Times New Roman" w:cs="Times New Roman"/>
          <w:color w:val="000000"/>
          <w:sz w:val="28"/>
          <w:szCs w:val="28"/>
          <w:highlight w:val="none"/>
        </w:rPr>
      </w:r>
      <w:r>
        <w:rPr>
          <w:rFonts w:ascii="Times New Roman" w:hAnsi="Times New Roman" w:eastAsia="Times New Roman" w:cs="Times New Roman"/>
          <w:color w:val="000000"/>
          <w:sz w:val="28"/>
          <w:szCs w:val="28"/>
          <w:highlight w:val="none"/>
        </w:rPr>
      </w:r>
    </w:p>
    <w:p>
      <w:pPr>
        <w:ind w:left="0" w:right="0" w:firstLine="540"/>
        <w:jc w:val="both"/>
        <w:spacing w:before="0" w:after="0" w:line="240" w:lineRule="auto"/>
        <w:shd w:val="clear" w:color="ffffff" w:themeColor="background1" w:fill="ffffff" w:themeFill="background1"/>
        <w:rPr>
          <w:sz w:val="28"/>
          <w:szCs w:val="28"/>
          <w:highlight w:val="whit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8"/>
          <w:szCs w:val="28"/>
          <w:highlight w:val="none"/>
        </w:rPr>
        <w:t xml:space="preserve">3</w:t>
      </w:r>
      <w:r>
        <w:rPr>
          <w:rFonts w:ascii="Times New Roman" w:hAnsi="Times New Roman" w:eastAsia="Times New Roman" w:cs="Times New Roman"/>
          <w:color w:val="000000"/>
          <w:sz w:val="28"/>
          <w:szCs w:val="28"/>
          <w:highlight w:val="white"/>
        </w:rPr>
        <w:t xml:space="preserve">. </w:t>
      </w:r>
      <w:r>
        <w:rPr>
          <w:rFonts w:ascii="Times New Roman" w:hAnsi="Times New Roman" w:eastAsia="Times New Roman" w:cs="Times New Roman"/>
          <w:color w:val="000000"/>
          <w:sz w:val="28"/>
          <w:szCs w:val="28"/>
          <w:highlight w:val="white"/>
        </w:rPr>
        <w:t xml:space="preserve">Контроль за исполнением настоящего постановления возложить на заместителя Премьер-министра Республики Татарстан Л.Р.Фазлееву.</w:t>
      </w:r>
      <w:r>
        <w:rPr>
          <w:rFonts w:ascii="Times New Roman" w:hAnsi="Times New Roman" w:eastAsia="Times New Roman" w:cs="Times New Roman"/>
          <w:color w:val="000000"/>
          <w:sz w:val="28"/>
          <w:szCs w:val="28"/>
          <w:highlight w:val="white"/>
        </w:rPr>
        <w:br/>
      </w:r>
      <w:r>
        <w:rPr>
          <w:sz w:val="28"/>
          <w:szCs w:val="28"/>
          <w:highlight w:val="white"/>
        </w:rPr>
      </w:r>
      <w:r>
        <w:rPr>
          <w:sz w:val="28"/>
          <w:szCs w:val="28"/>
          <w:highlight w:val="white"/>
        </w:rPr>
      </w:r>
    </w:p>
    <w:p>
      <w:pPr>
        <w:spacing w:line="240" w:lineRule="auto"/>
        <w:shd w:val="clear" w:color="ffffff" w:themeColor="background1" w:fill="ffffff" w:themeFill="background1"/>
        <w:rPr>
          <w:sz w:val="28"/>
          <w:szCs w:val="28"/>
          <w:highlight w:val="white"/>
        </w:rPr>
      </w:pPr>
      <w:r>
        <w:rPr>
          <w:sz w:val="28"/>
          <w:szCs w:val="28"/>
          <w:highlight w:val="white"/>
        </w:rPr>
      </w:r>
      <w:r>
        <w:rPr>
          <w:sz w:val="28"/>
          <w:szCs w:val="28"/>
          <w:highlight w:val="white"/>
        </w:rPr>
      </w:r>
      <w:r>
        <w:rPr>
          <w:sz w:val="28"/>
          <w:szCs w:val="28"/>
          <w:highlight w:val="white"/>
        </w:rPr>
      </w:r>
    </w:p>
    <w:p>
      <w:pPr>
        <w:spacing w:line="240" w:lineRule="auto"/>
        <w:rPr>
          <w:sz w:val="28"/>
          <w:szCs w:val="28"/>
        </w:rPr>
      </w:pPr>
      <w:r>
        <w:rPr>
          <w:sz w:val="28"/>
          <w:szCs w:val="28"/>
          <w:highlight w:val="none"/>
        </w:rPr>
      </w:r>
      <w:r>
        <w:rPr>
          <w:sz w:val="28"/>
          <w:szCs w:val="28"/>
        </w:rPr>
      </w:r>
      <w:r>
        <w:rPr>
          <w:sz w:val="28"/>
          <w:szCs w:val="28"/>
        </w:rPr>
      </w:r>
    </w:p>
    <w:p>
      <w:pPr>
        <w:spacing w:line="240" w:lineRule="auto"/>
        <w:rPr>
          <w:sz w:val="28"/>
          <w:szCs w:val="28"/>
        </w:rPr>
      </w:pPr>
      <w:r>
        <w:rPr>
          <w:sz w:val="28"/>
          <w:szCs w:val="28"/>
          <w:lang w:val="tt-RU"/>
        </w:rPr>
        <w:t xml:space="preserve">Премьер-министр</w:t>
      </w:r>
      <w:r>
        <w:rPr>
          <w:sz w:val="28"/>
          <w:szCs w:val="28"/>
        </w:rPr>
      </w:r>
      <w:r>
        <w:rPr>
          <w:sz w:val="28"/>
          <w:szCs w:val="28"/>
        </w:rPr>
      </w:r>
    </w:p>
    <w:p>
      <w:pPr>
        <w:spacing w:line="240" w:lineRule="auto"/>
        <w:rPr>
          <w:sz w:val="28"/>
          <w:szCs w:val="28"/>
        </w:rPr>
      </w:pPr>
      <w:r>
        <w:rPr>
          <w:sz w:val="28"/>
          <w:szCs w:val="28"/>
        </w:rPr>
        <w:t xml:space="preserve">Республики Татарстан</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Pr>
          <w:sz w:val="28"/>
          <w:szCs w:val="28"/>
        </w:rPr>
        <w:t xml:space="preserve">А.В.Песошин</w:t>
      </w:r>
      <w:r>
        <w:rPr>
          <w:sz w:val="28"/>
          <w:szCs w:val="28"/>
        </w:rPr>
      </w:r>
      <w:r>
        <w:rPr>
          <w:sz w:val="28"/>
          <w:szCs w:val="28"/>
        </w:rPr>
      </w:r>
    </w:p>
    <w:sectPr>
      <w:headerReference w:type="default" r:id="rId9"/>
      <w:footnotePr/>
      <w:endnotePr/>
      <w:type w:val="nextPage"/>
      <w:pgSz w:w="11906" w:h="16838" w:orient="portrait"/>
      <w:pgMar w:top="1134" w:right="566" w:bottom="1134" w:left="1134" w:header="708" w:footer="708"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240" w:lineRule="auto"/>
      </w:pPr>
      <w:r>
        <w:separator/>
      </w:r>
      <w:r/>
    </w:p>
  </w:endnote>
  <w:endnote w:type="continuationSeparator" w:id="0">
    <w:p>
      <w:pPr>
        <w:spacing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Tahoma">
    <w:panose1 w:val="020B0604030504040204"/>
  </w:font>
  <w:font w:name="Calibri">
    <w:panose1 w:val="020F05020202040302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240" w:lineRule="auto"/>
      </w:pPr>
      <w:r>
        <w:separator/>
      </w:r>
      <w:r/>
    </w:p>
  </w:footnote>
  <w:footnote w:type="continuationSeparator" w:id="0">
    <w:p>
      <w:pPr>
        <w:spacing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50398151"/>
      <w:docPartObj>
        <w:docPartGallery w:val="Page Numbers (Top of Page)"/>
        <w:docPartUnique w:val="true"/>
      </w:docPartObj>
      <w:rPr/>
    </w:sdtPr>
    <w:sdtContent>
      <w:p>
        <w:pPr>
          <w:pStyle w:val="906"/>
          <w:jc w:val="center"/>
        </w:pPr>
        <w:r>
          <w:fldChar w:fldCharType="begin"/>
        </w:r>
        <w:r>
          <w:instrText xml:space="preserve">PAGE   \* MERGEFORMAT</w:instrText>
        </w:r>
        <w:r>
          <w:fldChar w:fldCharType="separate"/>
        </w:r>
        <w:r>
          <w:t xml:space="preserve">2</w:t>
        </w:r>
        <w:r>
          <w:fldChar w:fldCharType="end"/>
        </w:r>
        <w:r/>
      </w:p>
    </w:sdtContent>
  </w:sdt>
  <w:p>
    <w:pPr>
      <w:pStyle w:val="906"/>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
    <w:multiLevelType w:val="hybridMultilevel"/>
    <w:lvl w:ilvl="0">
      <w:start w:val="1"/>
      <w:numFmt w:val="decimal"/>
      <w:isLgl w:val="false"/>
      <w:suff w:val="tab"/>
      <w:lvlText w:val="%1."/>
      <w:lvlJc w:val="right"/>
      <w:pPr>
        <w:ind w:left="709" w:hanging="360"/>
      </w:p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2">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3">
    <w:multiLevelType w:val="hybridMultilevel"/>
    <w:lvl w:ilvl="0">
      <w:start w:val="1"/>
      <w:numFmt w:val="decimal"/>
      <w:isLgl w:val="false"/>
      <w:suff w:val="tab"/>
      <w:lvlText w:val="%1."/>
      <w:lvlJc w:val="right"/>
      <w:pPr>
        <w:ind w:left="709" w:hanging="360"/>
      </w:pPr>
      <w:rPr>
        <w:rFonts w:ascii="Arial" w:hAnsi="Arial" w:eastAsia="Arial" w:cs="Arial"/>
        <w:color w:val="000000"/>
        <w:sz w:val="24"/>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4">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5">
    <w:multiLevelType w:val="hybridMultilevel"/>
    <w:lvl w:ilvl="0">
      <w:start w:val="1"/>
      <w:numFmt w:val="decimal"/>
      <w:isLgl w:val="false"/>
      <w:suff w:val="tab"/>
      <w:lvlText w:val="%1."/>
      <w:lvlJc w:val="right"/>
      <w:pPr>
        <w:ind w:left="709" w:hanging="360"/>
      </w:p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6">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7">
    <w:multiLevelType w:val="hybridMultilevel"/>
    <w:lvl w:ilvl="0">
      <w:start w:val="1"/>
      <w:numFmt w:val="decimal"/>
      <w:isLgl w:val="false"/>
      <w:suff w:val="tab"/>
      <w:lvlText w:val="%1."/>
      <w:lvlJc w:val="right"/>
      <w:pPr>
        <w:ind w:left="709" w:hanging="360"/>
      </w:pPr>
      <w:rPr>
        <w:rFonts w:ascii="Arial" w:hAnsi="Arial" w:eastAsia="Arial" w:cs="Arial"/>
        <w:color w:val="2e2b29"/>
        <w:sz w:val="24"/>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8">
    <w:multiLevelType w:val="hybridMultilevel"/>
    <w:lvl w:ilvl="0">
      <w:start w:val="1"/>
      <w:numFmt w:val="bullet"/>
      <w:isLgl w:val="false"/>
      <w:suff w:val="tab"/>
      <w:lvlText w:val="·"/>
      <w:lvlJc w:val="left"/>
      <w:pPr>
        <w:ind w:left="709" w:hanging="360"/>
      </w:pPr>
      <w:rPr>
        <w:rFonts w:hint="default" w:ascii="Symbol" w:hAnsi="Symbol" w:eastAsia="Symbol" w:cs="Symbol"/>
        <w:color w:val="2e2b29"/>
        <w:sz w:val="24"/>
      </w:rPr>
    </w:lvl>
    <w:lvl w:ilvl="1">
      <w:start w:val="1"/>
      <w:numFmt w:val="bullet"/>
      <w:isLgl w:val="false"/>
      <w:suff w:val="tab"/>
      <w:lvlText w:val="·"/>
      <w:lvlJc w:val="left"/>
      <w:pPr>
        <w:ind w:left="1429" w:hanging="360"/>
      </w:pPr>
      <w:rPr>
        <w:rFonts w:hint="default" w:ascii="Symbol" w:hAnsi="Symbol" w:eastAsia="Symbol" w:cs="Symbol"/>
        <w:color w:val="2e2b29"/>
        <w:sz w:val="24"/>
      </w:rPr>
    </w:lvl>
    <w:lvl w:ilvl="2">
      <w:start w:val="1"/>
      <w:numFmt w:val="bullet"/>
      <w:isLgl w:val="false"/>
      <w:suff w:val="tab"/>
      <w:lvlText w:val="·"/>
      <w:lvlJc w:val="left"/>
      <w:pPr>
        <w:ind w:left="2149" w:hanging="360"/>
      </w:pPr>
      <w:rPr>
        <w:rFonts w:hint="default" w:ascii="Symbol" w:hAnsi="Symbol" w:eastAsia="Symbol" w:cs="Symbol"/>
        <w:color w:val="2e2b29"/>
        <w:sz w:val="24"/>
      </w:rPr>
    </w:lvl>
    <w:lvl w:ilvl="3">
      <w:start w:val="1"/>
      <w:numFmt w:val="bullet"/>
      <w:isLgl w:val="false"/>
      <w:suff w:val="tab"/>
      <w:lvlText w:val="·"/>
      <w:lvlJc w:val="left"/>
      <w:pPr>
        <w:ind w:left="2869" w:hanging="360"/>
      </w:pPr>
      <w:rPr>
        <w:rFonts w:hint="default" w:ascii="Symbol" w:hAnsi="Symbol" w:eastAsia="Symbol" w:cs="Symbol"/>
        <w:color w:val="2e2b29"/>
        <w:sz w:val="24"/>
      </w:rPr>
    </w:lvl>
    <w:lvl w:ilvl="4">
      <w:start w:val="1"/>
      <w:numFmt w:val="bullet"/>
      <w:isLgl w:val="false"/>
      <w:suff w:val="tab"/>
      <w:lvlText w:val="·"/>
      <w:lvlJc w:val="left"/>
      <w:pPr>
        <w:ind w:left="3589" w:hanging="360"/>
      </w:pPr>
      <w:rPr>
        <w:rFonts w:hint="default" w:ascii="Symbol" w:hAnsi="Symbol" w:eastAsia="Symbol" w:cs="Symbol"/>
        <w:color w:val="2e2b29"/>
        <w:sz w:val="24"/>
      </w:rPr>
    </w:lvl>
    <w:lvl w:ilvl="5">
      <w:start w:val="1"/>
      <w:numFmt w:val="bullet"/>
      <w:isLgl w:val="false"/>
      <w:suff w:val="tab"/>
      <w:lvlText w:val="·"/>
      <w:lvlJc w:val="left"/>
      <w:pPr>
        <w:ind w:left="4309" w:hanging="360"/>
      </w:pPr>
      <w:rPr>
        <w:rFonts w:hint="default" w:ascii="Symbol" w:hAnsi="Symbol" w:eastAsia="Symbol" w:cs="Symbol"/>
        <w:color w:val="2e2b29"/>
        <w:sz w:val="24"/>
      </w:rPr>
    </w:lvl>
    <w:lvl w:ilvl="6">
      <w:start w:val="1"/>
      <w:numFmt w:val="bullet"/>
      <w:isLgl w:val="false"/>
      <w:suff w:val="tab"/>
      <w:lvlText w:val="·"/>
      <w:lvlJc w:val="left"/>
      <w:pPr>
        <w:ind w:left="5029" w:hanging="360"/>
      </w:pPr>
      <w:rPr>
        <w:rFonts w:hint="default" w:ascii="Symbol" w:hAnsi="Symbol" w:eastAsia="Symbol" w:cs="Symbol"/>
        <w:color w:val="2e2b29"/>
        <w:sz w:val="24"/>
      </w:rPr>
    </w:lvl>
    <w:lvl w:ilvl="7">
      <w:start w:val="1"/>
      <w:numFmt w:val="bullet"/>
      <w:isLgl w:val="false"/>
      <w:suff w:val="tab"/>
      <w:lvlText w:val="·"/>
      <w:lvlJc w:val="left"/>
      <w:pPr>
        <w:ind w:left="5749" w:hanging="360"/>
      </w:pPr>
      <w:rPr>
        <w:rFonts w:hint="default" w:ascii="Symbol" w:hAnsi="Symbol" w:eastAsia="Symbol" w:cs="Symbol"/>
        <w:color w:val="2e2b29"/>
        <w:sz w:val="24"/>
      </w:rPr>
    </w:lvl>
    <w:lvl w:ilvl="8">
      <w:start w:val="1"/>
      <w:numFmt w:val="bullet"/>
      <w:isLgl w:val="false"/>
      <w:suff w:val="tab"/>
      <w:lvlText w:val="·"/>
      <w:lvlJc w:val="left"/>
      <w:pPr>
        <w:ind w:left="6469" w:hanging="360"/>
      </w:pPr>
      <w:rPr>
        <w:rFonts w:hint="default" w:ascii="Symbol" w:hAnsi="Symbol" w:eastAsia="Symbol" w:cs="Symbol"/>
        <w:color w:val="2e2b29"/>
        <w:sz w:val="24"/>
      </w:rPr>
    </w:lvl>
  </w:abstractNum>
  <w:abstractNum w:abstractNumId="9">
    <w:multiLevelType w:val="hybridMultilevel"/>
    <w:lvl w:ilvl="0">
      <w:start w:val="1"/>
      <w:numFmt w:val="decimal"/>
      <w:isLgl w:val="false"/>
      <w:suff w:val="tab"/>
      <w:lvlText w:val="%1."/>
      <w:lvlJc w:val="right"/>
      <w:pPr>
        <w:ind w:left="709" w:hanging="360"/>
      </w:pPr>
      <w:rPr>
        <w:rFonts w:ascii="Arial" w:hAnsi="Arial" w:eastAsia="Arial" w:cs="Arial"/>
        <w:color w:val="2e2b29"/>
        <w:sz w:val="24"/>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0">
    <w:multiLevelType w:val="hybridMultilevel"/>
    <w:lvl w:ilvl="0">
      <w:start w:val="1"/>
      <w:numFmt w:val="decimal"/>
      <w:isLgl w:val="false"/>
      <w:suff w:val="tab"/>
      <w:lvlText w:val="%1."/>
      <w:lvlJc w:val="left"/>
      <w:pPr>
        <w:ind w:left="1417" w:hanging="360"/>
      </w:p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abstractNum w:abstractNumId="11">
    <w:multiLevelType w:val="hybridMultilevel"/>
    <w:lvl w:ilvl="0">
      <w:start w:val="1"/>
      <w:numFmt w:val="decimal"/>
      <w:isLgl w:val="false"/>
      <w:suff w:val="tab"/>
      <w:lvlText w:val="%1."/>
      <w:lvlJc w:val="right"/>
      <w:pPr>
        <w:ind w:left="709" w:hanging="360"/>
      </w:pPr>
      <w:rPr>
        <w:rFonts w:ascii="Arial" w:hAnsi="Arial" w:eastAsia="Arial" w:cs="Arial"/>
        <w:color w:val="2e2b29"/>
        <w:sz w:val="24"/>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2">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3">
    <w:multiLevelType w:val="hybridMultilevel"/>
    <w:lvl w:ilvl="0">
      <w:start w:val="1"/>
      <w:numFmt w:val="decimal"/>
      <w:isLgl w:val="false"/>
      <w:suff w:val="tab"/>
      <w:lvlText w:val="%1."/>
      <w:lvlJc w:val="right"/>
      <w:pPr>
        <w:ind w:left="709" w:hanging="360"/>
      </w:p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4">
    <w:multiLevelType w:val="hybridMultilevel"/>
    <w:lvl w:ilvl="0">
      <w:start w:val="1"/>
      <w:numFmt w:val="decimal"/>
      <w:isLgl w:val="false"/>
      <w:suff w:val="tab"/>
      <w:lvlText w:val="%1."/>
      <w:lvlJc w:val="right"/>
      <w:pPr>
        <w:ind w:left="709" w:hanging="360"/>
      </w:pPr>
      <w:rPr>
        <w:rFonts w:ascii="Arial" w:hAnsi="Arial" w:eastAsia="Arial" w:cs="Arial"/>
        <w:color w:val="2e2b29"/>
        <w:sz w:val="24"/>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5">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6">
    <w:multiLevelType w:val="hybridMultilevel"/>
    <w:lvl w:ilvl="0">
      <w:start w:val="1"/>
      <w:numFmt w:val="decimal"/>
      <w:isLgl w:val="false"/>
      <w:suff w:val="tab"/>
      <w:lvlText w:val="%1."/>
      <w:lvlJc w:val="right"/>
      <w:pPr>
        <w:ind w:left="709" w:hanging="360"/>
      </w:pPr>
      <w:rPr>
        <w:rFonts w:ascii="Arial" w:hAnsi="Arial" w:eastAsia="Arial" w:cs="Arial"/>
        <w:color w:val="2e2b29"/>
        <w:sz w:val="24"/>
      </w:r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7">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8">
    <w:multiLevelType w:val="hybridMultilevel"/>
    <w:lvl w:ilvl="0">
      <w:start w:val="1"/>
      <w:numFmt w:val="decimal"/>
      <w:isLgl w:val="false"/>
      <w:suff w:val="tab"/>
      <w:lvlText w:val="%1."/>
      <w:lvlJc w:val="right"/>
      <w:pPr>
        <w:ind w:left="709" w:hanging="360"/>
      </w:p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19">
    <w:multiLevelType w:val="hybridMultilevel"/>
    <w:lvl w:ilvl="0">
      <w:start w:val="1"/>
      <w:numFmt w:val="decimal"/>
      <w:isLgl w:val="false"/>
      <w:suff w:val="tab"/>
      <w:lvlText w:val="%1."/>
      <w:lvlJc w:val="right"/>
      <w:pPr>
        <w:ind w:left="709" w:hanging="360"/>
      </w:p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20">
    <w:multiLevelType w:val="hybridMultilevel"/>
    <w:lvl w:ilvl="0">
      <w:start w:val="1"/>
      <w:numFmt w:val="decimal"/>
      <w:isLgl w:val="false"/>
      <w:suff w:val="tab"/>
      <w:lvlText w:val="%1."/>
      <w:lvlJc w:val="right"/>
      <w:pPr>
        <w:ind w:left="709" w:hanging="360"/>
      </w:p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21">
    <w:multiLevelType w:val="hybridMultilevel"/>
    <w:lvl w:ilvl="0">
      <w:start w:val="1"/>
      <w:numFmt w:val="decimal"/>
      <w:isLgl w:val="false"/>
      <w:suff w:val="tab"/>
      <w:lvlText w:val="%1."/>
      <w:lvlJc w:val="right"/>
      <w:pPr>
        <w:ind w:left="709" w:hanging="360"/>
      </w:pPr>
    </w:lvl>
    <w:lvl w:ilvl="1">
      <w:start w:val="1"/>
      <w:numFmt w:val="decimal"/>
      <w:isLgl w:val="false"/>
      <w:suff w:val="tab"/>
      <w:lvlText w:val="%2."/>
      <w:lvlJc w:val="right"/>
      <w:pPr>
        <w:ind w:left="1429" w:hanging="360"/>
      </w:pPr>
    </w:lvl>
    <w:lvl w:ilvl="2">
      <w:start w:val="1"/>
      <w:numFmt w:val="decimal"/>
      <w:isLgl w:val="false"/>
      <w:suff w:val="tab"/>
      <w:lvlText w:val="%3."/>
      <w:lvlJc w:val="right"/>
      <w:pPr>
        <w:ind w:left="2149" w:hanging="180"/>
      </w:pPr>
    </w:lvl>
    <w:lvl w:ilvl="3">
      <w:start w:val="1"/>
      <w:numFmt w:val="decimal"/>
      <w:isLgl w:val="false"/>
      <w:suff w:val="tab"/>
      <w:lvlText w:val="%4."/>
      <w:lvlJc w:val="right"/>
      <w:pPr>
        <w:ind w:left="2869" w:hanging="360"/>
      </w:pPr>
    </w:lvl>
    <w:lvl w:ilvl="4">
      <w:start w:val="1"/>
      <w:numFmt w:val="decimal"/>
      <w:isLgl w:val="false"/>
      <w:suff w:val="tab"/>
      <w:lvlText w:val="%5."/>
      <w:lvlJc w:val="right"/>
      <w:pPr>
        <w:ind w:left="3589" w:hanging="360"/>
      </w:pPr>
    </w:lvl>
    <w:lvl w:ilvl="5">
      <w:start w:val="1"/>
      <w:numFmt w:val="decimal"/>
      <w:isLgl w:val="false"/>
      <w:suff w:val="tab"/>
      <w:lvlText w:val="%6."/>
      <w:lvlJc w:val="right"/>
      <w:pPr>
        <w:ind w:left="4309" w:hanging="180"/>
      </w:pPr>
    </w:lvl>
    <w:lvl w:ilvl="6">
      <w:start w:val="1"/>
      <w:numFmt w:val="decimal"/>
      <w:isLgl w:val="false"/>
      <w:suff w:val="tab"/>
      <w:lvlText w:val="%7."/>
      <w:lvlJc w:val="right"/>
      <w:pPr>
        <w:ind w:left="5029" w:hanging="360"/>
      </w:pPr>
    </w:lvl>
    <w:lvl w:ilvl="7">
      <w:start w:val="1"/>
      <w:numFmt w:val="decimal"/>
      <w:isLgl w:val="false"/>
      <w:suff w:val="tab"/>
      <w:lvlText w:val="%8."/>
      <w:lvlJc w:val="right"/>
      <w:pPr>
        <w:ind w:left="5749" w:hanging="360"/>
      </w:pPr>
    </w:lvl>
    <w:lvl w:ilvl="8">
      <w:start w:val="1"/>
      <w:numFmt w:val="decimal"/>
      <w:isLgl w:val="false"/>
      <w:suff w:val="tab"/>
      <w:lvlText w:val="%9."/>
      <w:lvlJc w:val="right"/>
      <w:pPr>
        <w:ind w:left="6469" w:hanging="180"/>
      </w:pPr>
    </w:lvl>
  </w:abstractNum>
  <w:abstractNum w:abstractNumId="22">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4">
    <w:name w:val="Heading 1"/>
    <w:basedOn w:val="899"/>
    <w:next w:val="899"/>
    <w:link w:val="725"/>
    <w:uiPriority w:val="9"/>
    <w:qFormat/>
    <w:pPr>
      <w:keepLines/>
      <w:keepNext/>
      <w:spacing w:before="480" w:after="200"/>
      <w:outlineLvl w:val="0"/>
    </w:pPr>
    <w:rPr>
      <w:rFonts w:ascii="Arial" w:hAnsi="Arial" w:eastAsia="Arial" w:cs="Arial"/>
      <w:sz w:val="40"/>
      <w:szCs w:val="40"/>
    </w:rPr>
  </w:style>
  <w:style w:type="character" w:styleId="725">
    <w:name w:val="Heading 1 Char"/>
    <w:basedOn w:val="900"/>
    <w:link w:val="724"/>
    <w:uiPriority w:val="9"/>
    <w:rPr>
      <w:rFonts w:ascii="Arial" w:hAnsi="Arial" w:eastAsia="Arial" w:cs="Arial"/>
      <w:sz w:val="40"/>
      <w:szCs w:val="40"/>
    </w:rPr>
  </w:style>
  <w:style w:type="paragraph" w:styleId="726">
    <w:name w:val="Heading 2"/>
    <w:basedOn w:val="899"/>
    <w:next w:val="899"/>
    <w:link w:val="727"/>
    <w:uiPriority w:val="9"/>
    <w:unhideWhenUsed/>
    <w:qFormat/>
    <w:pPr>
      <w:keepLines/>
      <w:keepNext/>
      <w:spacing w:before="360" w:after="200"/>
      <w:outlineLvl w:val="1"/>
    </w:pPr>
    <w:rPr>
      <w:rFonts w:ascii="Arial" w:hAnsi="Arial" w:eastAsia="Arial" w:cs="Arial"/>
      <w:sz w:val="34"/>
    </w:rPr>
  </w:style>
  <w:style w:type="character" w:styleId="727">
    <w:name w:val="Heading 2 Char"/>
    <w:basedOn w:val="900"/>
    <w:link w:val="726"/>
    <w:uiPriority w:val="9"/>
    <w:rPr>
      <w:rFonts w:ascii="Arial" w:hAnsi="Arial" w:eastAsia="Arial" w:cs="Arial"/>
      <w:sz w:val="34"/>
    </w:rPr>
  </w:style>
  <w:style w:type="paragraph" w:styleId="728">
    <w:name w:val="Heading 3"/>
    <w:basedOn w:val="899"/>
    <w:next w:val="899"/>
    <w:link w:val="729"/>
    <w:uiPriority w:val="9"/>
    <w:unhideWhenUsed/>
    <w:qFormat/>
    <w:pPr>
      <w:keepLines/>
      <w:keepNext/>
      <w:spacing w:before="320" w:after="200"/>
      <w:outlineLvl w:val="2"/>
    </w:pPr>
    <w:rPr>
      <w:rFonts w:ascii="Arial" w:hAnsi="Arial" w:eastAsia="Arial" w:cs="Arial"/>
      <w:sz w:val="30"/>
      <w:szCs w:val="30"/>
    </w:rPr>
  </w:style>
  <w:style w:type="character" w:styleId="729">
    <w:name w:val="Heading 3 Char"/>
    <w:basedOn w:val="900"/>
    <w:link w:val="728"/>
    <w:uiPriority w:val="9"/>
    <w:rPr>
      <w:rFonts w:ascii="Arial" w:hAnsi="Arial" w:eastAsia="Arial" w:cs="Arial"/>
      <w:sz w:val="30"/>
      <w:szCs w:val="30"/>
    </w:rPr>
  </w:style>
  <w:style w:type="paragraph" w:styleId="730">
    <w:name w:val="Heading 4"/>
    <w:basedOn w:val="899"/>
    <w:next w:val="899"/>
    <w:link w:val="731"/>
    <w:uiPriority w:val="9"/>
    <w:unhideWhenUsed/>
    <w:qFormat/>
    <w:pPr>
      <w:keepLines/>
      <w:keepNext/>
      <w:spacing w:before="320" w:after="200"/>
      <w:outlineLvl w:val="3"/>
    </w:pPr>
    <w:rPr>
      <w:rFonts w:ascii="Arial" w:hAnsi="Arial" w:eastAsia="Arial" w:cs="Arial"/>
      <w:b/>
      <w:bCs/>
      <w:sz w:val="26"/>
      <w:szCs w:val="26"/>
    </w:rPr>
  </w:style>
  <w:style w:type="character" w:styleId="731">
    <w:name w:val="Heading 4 Char"/>
    <w:basedOn w:val="900"/>
    <w:link w:val="730"/>
    <w:uiPriority w:val="9"/>
    <w:rPr>
      <w:rFonts w:ascii="Arial" w:hAnsi="Arial" w:eastAsia="Arial" w:cs="Arial"/>
      <w:b/>
      <w:bCs/>
      <w:sz w:val="26"/>
      <w:szCs w:val="26"/>
    </w:rPr>
  </w:style>
  <w:style w:type="paragraph" w:styleId="732">
    <w:name w:val="Heading 5"/>
    <w:basedOn w:val="899"/>
    <w:next w:val="899"/>
    <w:link w:val="733"/>
    <w:uiPriority w:val="9"/>
    <w:unhideWhenUsed/>
    <w:qFormat/>
    <w:pPr>
      <w:keepLines/>
      <w:keepNext/>
      <w:spacing w:before="320" w:after="200"/>
      <w:outlineLvl w:val="4"/>
    </w:pPr>
    <w:rPr>
      <w:rFonts w:ascii="Arial" w:hAnsi="Arial" w:eastAsia="Arial" w:cs="Arial"/>
      <w:b/>
      <w:bCs/>
      <w:sz w:val="24"/>
      <w:szCs w:val="24"/>
    </w:rPr>
  </w:style>
  <w:style w:type="character" w:styleId="733">
    <w:name w:val="Heading 5 Char"/>
    <w:basedOn w:val="900"/>
    <w:link w:val="732"/>
    <w:uiPriority w:val="9"/>
    <w:rPr>
      <w:rFonts w:ascii="Arial" w:hAnsi="Arial" w:eastAsia="Arial" w:cs="Arial"/>
      <w:b/>
      <w:bCs/>
      <w:sz w:val="24"/>
      <w:szCs w:val="24"/>
    </w:rPr>
  </w:style>
  <w:style w:type="paragraph" w:styleId="734">
    <w:name w:val="Heading 6"/>
    <w:basedOn w:val="899"/>
    <w:next w:val="899"/>
    <w:link w:val="735"/>
    <w:uiPriority w:val="9"/>
    <w:unhideWhenUsed/>
    <w:qFormat/>
    <w:pPr>
      <w:keepLines/>
      <w:keepNext/>
      <w:spacing w:before="320" w:after="200"/>
      <w:outlineLvl w:val="5"/>
    </w:pPr>
    <w:rPr>
      <w:rFonts w:ascii="Arial" w:hAnsi="Arial" w:eastAsia="Arial" w:cs="Arial"/>
      <w:b/>
      <w:bCs/>
      <w:sz w:val="22"/>
      <w:szCs w:val="22"/>
    </w:rPr>
  </w:style>
  <w:style w:type="character" w:styleId="735">
    <w:name w:val="Heading 6 Char"/>
    <w:basedOn w:val="900"/>
    <w:link w:val="734"/>
    <w:uiPriority w:val="9"/>
    <w:rPr>
      <w:rFonts w:ascii="Arial" w:hAnsi="Arial" w:eastAsia="Arial" w:cs="Arial"/>
      <w:b/>
      <w:bCs/>
      <w:sz w:val="22"/>
      <w:szCs w:val="22"/>
    </w:rPr>
  </w:style>
  <w:style w:type="paragraph" w:styleId="736">
    <w:name w:val="Heading 7"/>
    <w:basedOn w:val="899"/>
    <w:next w:val="899"/>
    <w:link w:val="737"/>
    <w:uiPriority w:val="9"/>
    <w:unhideWhenUsed/>
    <w:qFormat/>
    <w:pPr>
      <w:keepLines/>
      <w:keepNext/>
      <w:spacing w:before="320" w:after="200"/>
      <w:outlineLvl w:val="6"/>
    </w:pPr>
    <w:rPr>
      <w:rFonts w:ascii="Arial" w:hAnsi="Arial" w:eastAsia="Arial" w:cs="Arial"/>
      <w:b/>
      <w:bCs/>
      <w:i/>
      <w:iCs/>
      <w:sz w:val="22"/>
      <w:szCs w:val="22"/>
    </w:rPr>
  </w:style>
  <w:style w:type="character" w:styleId="737">
    <w:name w:val="Heading 7 Char"/>
    <w:basedOn w:val="900"/>
    <w:link w:val="736"/>
    <w:uiPriority w:val="9"/>
    <w:rPr>
      <w:rFonts w:ascii="Arial" w:hAnsi="Arial" w:eastAsia="Arial" w:cs="Arial"/>
      <w:b/>
      <w:bCs/>
      <w:i/>
      <w:iCs/>
      <w:sz w:val="22"/>
      <w:szCs w:val="22"/>
    </w:rPr>
  </w:style>
  <w:style w:type="paragraph" w:styleId="738">
    <w:name w:val="Heading 8"/>
    <w:basedOn w:val="899"/>
    <w:next w:val="899"/>
    <w:link w:val="739"/>
    <w:uiPriority w:val="9"/>
    <w:unhideWhenUsed/>
    <w:qFormat/>
    <w:pPr>
      <w:keepLines/>
      <w:keepNext/>
      <w:spacing w:before="320" w:after="200"/>
      <w:outlineLvl w:val="7"/>
    </w:pPr>
    <w:rPr>
      <w:rFonts w:ascii="Arial" w:hAnsi="Arial" w:eastAsia="Arial" w:cs="Arial"/>
      <w:i/>
      <w:iCs/>
      <w:sz w:val="22"/>
      <w:szCs w:val="22"/>
    </w:rPr>
  </w:style>
  <w:style w:type="character" w:styleId="739">
    <w:name w:val="Heading 8 Char"/>
    <w:basedOn w:val="900"/>
    <w:link w:val="738"/>
    <w:uiPriority w:val="9"/>
    <w:rPr>
      <w:rFonts w:ascii="Arial" w:hAnsi="Arial" w:eastAsia="Arial" w:cs="Arial"/>
      <w:i/>
      <w:iCs/>
      <w:sz w:val="22"/>
      <w:szCs w:val="22"/>
    </w:rPr>
  </w:style>
  <w:style w:type="paragraph" w:styleId="740">
    <w:name w:val="Heading 9"/>
    <w:basedOn w:val="899"/>
    <w:next w:val="899"/>
    <w:link w:val="741"/>
    <w:uiPriority w:val="9"/>
    <w:unhideWhenUsed/>
    <w:qFormat/>
    <w:pPr>
      <w:keepLines/>
      <w:keepNext/>
      <w:spacing w:before="320" w:after="200"/>
      <w:outlineLvl w:val="8"/>
    </w:pPr>
    <w:rPr>
      <w:rFonts w:ascii="Arial" w:hAnsi="Arial" w:eastAsia="Arial" w:cs="Arial"/>
      <w:i/>
      <w:iCs/>
      <w:sz w:val="21"/>
      <w:szCs w:val="21"/>
    </w:rPr>
  </w:style>
  <w:style w:type="character" w:styleId="741">
    <w:name w:val="Heading 9 Char"/>
    <w:basedOn w:val="900"/>
    <w:link w:val="740"/>
    <w:uiPriority w:val="9"/>
    <w:rPr>
      <w:rFonts w:ascii="Arial" w:hAnsi="Arial" w:eastAsia="Arial" w:cs="Arial"/>
      <w:i/>
      <w:iCs/>
      <w:sz w:val="21"/>
      <w:szCs w:val="21"/>
    </w:rPr>
  </w:style>
  <w:style w:type="paragraph" w:styleId="742">
    <w:name w:val="List Paragraph"/>
    <w:basedOn w:val="899"/>
    <w:uiPriority w:val="34"/>
    <w:qFormat/>
    <w:pPr>
      <w:contextualSpacing/>
      <w:ind w:left="720"/>
    </w:pPr>
  </w:style>
  <w:style w:type="paragraph" w:styleId="743">
    <w:name w:val="No Spacing"/>
    <w:uiPriority w:val="1"/>
    <w:qFormat/>
    <w:pPr>
      <w:spacing w:before="0" w:after="0" w:line="240" w:lineRule="auto"/>
    </w:pPr>
  </w:style>
  <w:style w:type="paragraph" w:styleId="744">
    <w:name w:val="Title"/>
    <w:basedOn w:val="899"/>
    <w:next w:val="899"/>
    <w:link w:val="745"/>
    <w:uiPriority w:val="10"/>
    <w:qFormat/>
    <w:pPr>
      <w:contextualSpacing/>
      <w:spacing w:before="300" w:after="200"/>
    </w:pPr>
    <w:rPr>
      <w:sz w:val="48"/>
      <w:szCs w:val="48"/>
    </w:rPr>
  </w:style>
  <w:style w:type="character" w:styleId="745">
    <w:name w:val="Title Char"/>
    <w:basedOn w:val="900"/>
    <w:link w:val="744"/>
    <w:uiPriority w:val="10"/>
    <w:rPr>
      <w:sz w:val="48"/>
      <w:szCs w:val="48"/>
    </w:rPr>
  </w:style>
  <w:style w:type="paragraph" w:styleId="746">
    <w:name w:val="Subtitle"/>
    <w:basedOn w:val="899"/>
    <w:next w:val="899"/>
    <w:link w:val="747"/>
    <w:uiPriority w:val="11"/>
    <w:qFormat/>
    <w:pPr>
      <w:spacing w:before="200" w:after="200"/>
    </w:pPr>
    <w:rPr>
      <w:sz w:val="24"/>
      <w:szCs w:val="24"/>
    </w:rPr>
  </w:style>
  <w:style w:type="character" w:styleId="747">
    <w:name w:val="Subtitle Char"/>
    <w:basedOn w:val="900"/>
    <w:link w:val="746"/>
    <w:uiPriority w:val="11"/>
    <w:rPr>
      <w:sz w:val="24"/>
      <w:szCs w:val="24"/>
    </w:rPr>
  </w:style>
  <w:style w:type="paragraph" w:styleId="748">
    <w:name w:val="Quote"/>
    <w:basedOn w:val="899"/>
    <w:next w:val="899"/>
    <w:link w:val="749"/>
    <w:uiPriority w:val="29"/>
    <w:qFormat/>
    <w:pPr>
      <w:ind w:left="720" w:right="720"/>
    </w:pPr>
    <w:rPr>
      <w:i/>
    </w:rPr>
  </w:style>
  <w:style w:type="character" w:styleId="749">
    <w:name w:val="Quote Char"/>
    <w:link w:val="748"/>
    <w:uiPriority w:val="29"/>
    <w:rPr>
      <w:i/>
    </w:rPr>
  </w:style>
  <w:style w:type="paragraph" w:styleId="750">
    <w:name w:val="Intense Quote"/>
    <w:basedOn w:val="899"/>
    <w:next w:val="899"/>
    <w:link w:val="75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51">
    <w:name w:val="Intense Quote Char"/>
    <w:link w:val="750"/>
    <w:uiPriority w:val="30"/>
    <w:rPr>
      <w:i/>
    </w:rPr>
  </w:style>
  <w:style w:type="character" w:styleId="752">
    <w:name w:val="Header Char"/>
    <w:basedOn w:val="900"/>
    <w:link w:val="906"/>
    <w:uiPriority w:val="99"/>
  </w:style>
  <w:style w:type="character" w:styleId="753">
    <w:name w:val="Footer Char"/>
    <w:basedOn w:val="900"/>
    <w:link w:val="908"/>
    <w:uiPriority w:val="99"/>
  </w:style>
  <w:style w:type="paragraph" w:styleId="754">
    <w:name w:val="Caption"/>
    <w:basedOn w:val="899"/>
    <w:next w:val="899"/>
    <w:uiPriority w:val="35"/>
    <w:semiHidden/>
    <w:unhideWhenUsed/>
    <w:qFormat/>
    <w:pPr>
      <w:spacing w:line="276" w:lineRule="auto"/>
    </w:pPr>
    <w:rPr>
      <w:b/>
      <w:bCs/>
      <w:color w:val="4f81bd" w:themeColor="accent1"/>
      <w:sz w:val="18"/>
      <w:szCs w:val="18"/>
    </w:rPr>
  </w:style>
  <w:style w:type="character" w:styleId="755">
    <w:name w:val="Caption Char"/>
    <w:basedOn w:val="754"/>
    <w:link w:val="908"/>
    <w:uiPriority w:val="99"/>
  </w:style>
  <w:style w:type="table" w:styleId="756">
    <w:name w:val="Table Grid Light"/>
    <w:basedOn w:val="90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57">
    <w:name w:val="Plain Table 1"/>
    <w:basedOn w:val="90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58">
    <w:name w:val="Plain Table 2"/>
    <w:basedOn w:val="90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9">
    <w:name w:val="Plain Table 3"/>
    <w:basedOn w:val="90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60">
    <w:name w:val="Plain Table 4"/>
    <w:basedOn w:val="90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1">
    <w:name w:val="Plain Table 5"/>
    <w:basedOn w:val="90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62">
    <w:name w:val="Grid Table 1 Light"/>
    <w:basedOn w:val="90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63">
    <w:name w:val="Grid Table 1 Light - Accent 1"/>
    <w:basedOn w:val="90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64">
    <w:name w:val="Grid Table 1 Light - Accent 2"/>
    <w:basedOn w:val="90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65">
    <w:name w:val="Grid Table 1 Light - Accent 3"/>
    <w:basedOn w:val="90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66">
    <w:name w:val="Grid Table 1 Light - Accent 4"/>
    <w:basedOn w:val="90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67">
    <w:name w:val="Grid Table 1 Light - Accent 5"/>
    <w:basedOn w:val="90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68">
    <w:name w:val="Grid Table 1 Light - Accent 6"/>
    <w:basedOn w:val="90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69">
    <w:name w:val="Grid Table 2"/>
    <w:basedOn w:val="90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70">
    <w:name w:val="Grid Table 2 - Accent 1"/>
    <w:basedOn w:val="90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71">
    <w:name w:val="Grid Table 2 - Accent 2"/>
    <w:basedOn w:val="90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72">
    <w:name w:val="Grid Table 2 - Accent 3"/>
    <w:basedOn w:val="90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73">
    <w:name w:val="Grid Table 2 - Accent 4"/>
    <w:basedOn w:val="90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74">
    <w:name w:val="Grid Table 2 - Accent 5"/>
    <w:basedOn w:val="90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75">
    <w:name w:val="Grid Table 2 - Accent 6"/>
    <w:basedOn w:val="90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76">
    <w:name w:val="Grid Table 3"/>
    <w:basedOn w:val="90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7">
    <w:name w:val="Grid Table 3 - Accent 1"/>
    <w:basedOn w:val="90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8">
    <w:name w:val="Grid Table 3 - Accent 2"/>
    <w:basedOn w:val="90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9">
    <w:name w:val="Grid Table 3 - Accent 3"/>
    <w:basedOn w:val="90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0">
    <w:name w:val="Grid Table 3 - Accent 4"/>
    <w:basedOn w:val="90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1">
    <w:name w:val="Grid Table 3 - Accent 5"/>
    <w:basedOn w:val="90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2">
    <w:name w:val="Grid Table 3 - Accent 6"/>
    <w:basedOn w:val="90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3">
    <w:name w:val="Grid Table 4"/>
    <w:basedOn w:val="90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4">
    <w:name w:val="Grid Table 4 - Accent 1"/>
    <w:basedOn w:val="90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5">
    <w:name w:val="Grid Table 4 - Accent 2"/>
    <w:basedOn w:val="90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86">
    <w:name w:val="Grid Table 4 - Accent 3"/>
    <w:basedOn w:val="90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7">
    <w:name w:val="Grid Table 4 - Accent 4"/>
    <w:basedOn w:val="90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88">
    <w:name w:val="Grid Table 4 - Accent 5"/>
    <w:basedOn w:val="90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89">
    <w:name w:val="Grid Table 4 - Accent 6"/>
    <w:basedOn w:val="90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90">
    <w:name w:val="Grid Table 5 Dark"/>
    <w:basedOn w:val="90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91">
    <w:name w:val="Grid Table 5 Dark- Accent 1"/>
    <w:basedOn w:val="90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92">
    <w:name w:val="Grid Table 5 Dark - Accent 2"/>
    <w:basedOn w:val="90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93">
    <w:name w:val="Grid Table 5 Dark - Accent 3"/>
    <w:basedOn w:val="90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94">
    <w:name w:val="Grid Table 5 Dark- Accent 4"/>
    <w:basedOn w:val="90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95">
    <w:name w:val="Grid Table 5 Dark - Accent 5"/>
    <w:basedOn w:val="90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96">
    <w:name w:val="Grid Table 5 Dark - Accent 6"/>
    <w:basedOn w:val="90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97">
    <w:name w:val="Grid Table 6 Colorful"/>
    <w:basedOn w:val="90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98">
    <w:name w:val="Grid Table 6 Colorful - Accent 1"/>
    <w:basedOn w:val="90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99">
    <w:name w:val="Grid Table 6 Colorful - Accent 2"/>
    <w:basedOn w:val="90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00">
    <w:name w:val="Grid Table 6 Colorful - Accent 3"/>
    <w:basedOn w:val="90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01">
    <w:name w:val="Grid Table 6 Colorful - Accent 4"/>
    <w:basedOn w:val="90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02">
    <w:name w:val="Grid Table 6 Colorful - Accent 5"/>
    <w:basedOn w:val="90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03">
    <w:name w:val="Grid Table 6 Colorful - Accent 6"/>
    <w:basedOn w:val="90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04">
    <w:name w:val="Grid Table 7 Colorful"/>
    <w:basedOn w:val="90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05">
    <w:name w:val="Grid Table 7 Colorful - Accent 1"/>
    <w:basedOn w:val="90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06">
    <w:name w:val="Grid Table 7 Colorful - Accent 2"/>
    <w:basedOn w:val="90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07">
    <w:name w:val="Grid Table 7 Colorful - Accent 3"/>
    <w:basedOn w:val="90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08">
    <w:name w:val="Grid Table 7 Colorful - Accent 4"/>
    <w:basedOn w:val="90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09">
    <w:name w:val="Grid Table 7 Colorful - Accent 5"/>
    <w:basedOn w:val="90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10">
    <w:name w:val="Grid Table 7 Colorful - Accent 6"/>
    <w:basedOn w:val="90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11">
    <w:name w:val="List Table 1 Light"/>
    <w:basedOn w:val="90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12">
    <w:name w:val="List Table 1 Light - Accent 1"/>
    <w:basedOn w:val="90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13">
    <w:name w:val="List Table 1 Light - Accent 2"/>
    <w:basedOn w:val="90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14">
    <w:name w:val="List Table 1 Light - Accent 3"/>
    <w:basedOn w:val="90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15">
    <w:name w:val="List Table 1 Light - Accent 4"/>
    <w:basedOn w:val="90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16">
    <w:name w:val="List Table 1 Light - Accent 5"/>
    <w:basedOn w:val="90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17">
    <w:name w:val="List Table 1 Light - Accent 6"/>
    <w:basedOn w:val="90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18">
    <w:name w:val="List Table 2"/>
    <w:basedOn w:val="90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19">
    <w:name w:val="List Table 2 - Accent 1"/>
    <w:basedOn w:val="90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20">
    <w:name w:val="List Table 2 - Accent 2"/>
    <w:basedOn w:val="90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21">
    <w:name w:val="List Table 2 - Accent 3"/>
    <w:basedOn w:val="90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22">
    <w:name w:val="List Table 2 - Accent 4"/>
    <w:basedOn w:val="90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23">
    <w:name w:val="List Table 2 - Accent 5"/>
    <w:basedOn w:val="90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24">
    <w:name w:val="List Table 2 - Accent 6"/>
    <w:basedOn w:val="90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25">
    <w:name w:val="List Table 3"/>
    <w:basedOn w:val="90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26">
    <w:name w:val="List Table 3 - Accent 1"/>
    <w:basedOn w:val="90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27">
    <w:name w:val="List Table 3 - Accent 2"/>
    <w:basedOn w:val="90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28">
    <w:name w:val="List Table 3 - Accent 3"/>
    <w:basedOn w:val="90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29">
    <w:name w:val="List Table 3 - Accent 4"/>
    <w:basedOn w:val="90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30">
    <w:name w:val="List Table 3 - Accent 5"/>
    <w:basedOn w:val="90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31">
    <w:name w:val="List Table 3 - Accent 6"/>
    <w:basedOn w:val="90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32">
    <w:name w:val="List Table 4"/>
    <w:basedOn w:val="90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3">
    <w:name w:val="List Table 4 - Accent 1"/>
    <w:basedOn w:val="90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4">
    <w:name w:val="List Table 4 - Accent 2"/>
    <w:basedOn w:val="90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35">
    <w:name w:val="List Table 4 - Accent 3"/>
    <w:basedOn w:val="90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36">
    <w:name w:val="List Table 4 - Accent 4"/>
    <w:basedOn w:val="90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37">
    <w:name w:val="List Table 4 - Accent 5"/>
    <w:basedOn w:val="90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38">
    <w:name w:val="List Table 4 - Accent 6"/>
    <w:basedOn w:val="90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39">
    <w:name w:val="List Table 5 Dark"/>
    <w:basedOn w:val="90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0">
    <w:name w:val="List Table 5 Dark - Accent 1"/>
    <w:basedOn w:val="90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1">
    <w:name w:val="List Table 5 Dark - Accent 2"/>
    <w:basedOn w:val="90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2">
    <w:name w:val="List Table 5 Dark - Accent 3"/>
    <w:basedOn w:val="90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3">
    <w:name w:val="List Table 5 Dark - Accent 4"/>
    <w:basedOn w:val="90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4">
    <w:name w:val="List Table 5 Dark - Accent 5"/>
    <w:basedOn w:val="90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5">
    <w:name w:val="List Table 5 Dark - Accent 6"/>
    <w:basedOn w:val="90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6">
    <w:name w:val="List Table 6 Colorful"/>
    <w:basedOn w:val="90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47">
    <w:name w:val="List Table 6 Colorful - Accent 1"/>
    <w:basedOn w:val="90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48">
    <w:name w:val="List Table 6 Colorful - Accent 2"/>
    <w:basedOn w:val="90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49">
    <w:name w:val="List Table 6 Colorful - Accent 3"/>
    <w:basedOn w:val="90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50">
    <w:name w:val="List Table 6 Colorful - Accent 4"/>
    <w:basedOn w:val="90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51">
    <w:name w:val="List Table 6 Colorful - Accent 5"/>
    <w:basedOn w:val="90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52">
    <w:name w:val="List Table 6 Colorful - Accent 6"/>
    <w:basedOn w:val="90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53">
    <w:name w:val="List Table 7 Colorful"/>
    <w:basedOn w:val="90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54">
    <w:name w:val="List Table 7 Colorful - Accent 1"/>
    <w:basedOn w:val="90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55">
    <w:name w:val="List Table 7 Colorful - Accent 2"/>
    <w:basedOn w:val="90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56">
    <w:name w:val="List Table 7 Colorful - Accent 3"/>
    <w:basedOn w:val="90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57">
    <w:name w:val="List Table 7 Colorful - Accent 4"/>
    <w:basedOn w:val="90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58">
    <w:name w:val="List Table 7 Colorful - Accent 5"/>
    <w:basedOn w:val="90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59">
    <w:name w:val="List Table 7 Colorful - Accent 6"/>
    <w:basedOn w:val="90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60">
    <w:name w:val="Lined - Accent"/>
    <w:basedOn w:val="90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61">
    <w:name w:val="Lined - Accent 1"/>
    <w:basedOn w:val="90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62">
    <w:name w:val="Lined - Accent 2"/>
    <w:basedOn w:val="90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63">
    <w:name w:val="Lined - Accent 3"/>
    <w:basedOn w:val="90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64">
    <w:name w:val="Lined - Accent 4"/>
    <w:basedOn w:val="90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65">
    <w:name w:val="Lined - Accent 5"/>
    <w:basedOn w:val="90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66">
    <w:name w:val="Lined - Accent 6"/>
    <w:basedOn w:val="90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67">
    <w:name w:val="Bordered &amp; Lined - Accent"/>
    <w:basedOn w:val="90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68">
    <w:name w:val="Bordered &amp; Lined - Accent 1"/>
    <w:basedOn w:val="90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69">
    <w:name w:val="Bordered &amp; Lined - Accent 2"/>
    <w:basedOn w:val="90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0">
    <w:name w:val="Bordered &amp; Lined - Accent 3"/>
    <w:basedOn w:val="90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1">
    <w:name w:val="Bordered &amp; Lined - Accent 4"/>
    <w:basedOn w:val="90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2">
    <w:name w:val="Bordered &amp; Lined - Accent 5"/>
    <w:basedOn w:val="90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3">
    <w:name w:val="Bordered &amp; Lined - Accent 6"/>
    <w:basedOn w:val="90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4">
    <w:name w:val="Bordered"/>
    <w:basedOn w:val="90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75">
    <w:name w:val="Bordered - Accent 1"/>
    <w:basedOn w:val="90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76">
    <w:name w:val="Bordered - Accent 2"/>
    <w:basedOn w:val="90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77">
    <w:name w:val="Bordered - Accent 3"/>
    <w:basedOn w:val="90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78">
    <w:name w:val="Bordered - Accent 4"/>
    <w:basedOn w:val="90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79">
    <w:name w:val="Bordered - Accent 5"/>
    <w:basedOn w:val="90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80">
    <w:name w:val="Bordered - Accent 6"/>
    <w:basedOn w:val="90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81">
    <w:name w:val="Hyperlink"/>
    <w:uiPriority w:val="99"/>
    <w:unhideWhenUsed/>
    <w:rPr>
      <w:color w:val="0000ff" w:themeColor="hyperlink"/>
      <w:u w:val="single"/>
    </w:rPr>
  </w:style>
  <w:style w:type="paragraph" w:styleId="882">
    <w:name w:val="footnote text"/>
    <w:basedOn w:val="899"/>
    <w:link w:val="883"/>
    <w:uiPriority w:val="99"/>
    <w:semiHidden/>
    <w:unhideWhenUsed/>
    <w:pPr>
      <w:spacing w:after="40" w:line="240" w:lineRule="auto"/>
    </w:pPr>
    <w:rPr>
      <w:sz w:val="18"/>
    </w:rPr>
  </w:style>
  <w:style w:type="character" w:styleId="883">
    <w:name w:val="Footnote Text Char"/>
    <w:link w:val="882"/>
    <w:uiPriority w:val="99"/>
    <w:rPr>
      <w:sz w:val="18"/>
    </w:rPr>
  </w:style>
  <w:style w:type="character" w:styleId="884">
    <w:name w:val="footnote reference"/>
    <w:basedOn w:val="900"/>
    <w:uiPriority w:val="99"/>
    <w:unhideWhenUsed/>
    <w:rPr>
      <w:vertAlign w:val="superscript"/>
    </w:rPr>
  </w:style>
  <w:style w:type="paragraph" w:styleId="885">
    <w:name w:val="endnote text"/>
    <w:basedOn w:val="899"/>
    <w:link w:val="886"/>
    <w:uiPriority w:val="99"/>
    <w:semiHidden/>
    <w:unhideWhenUsed/>
    <w:pPr>
      <w:spacing w:after="0" w:line="240" w:lineRule="auto"/>
    </w:pPr>
    <w:rPr>
      <w:sz w:val="20"/>
    </w:rPr>
  </w:style>
  <w:style w:type="character" w:styleId="886">
    <w:name w:val="Endnote Text Char"/>
    <w:link w:val="885"/>
    <w:uiPriority w:val="99"/>
    <w:rPr>
      <w:sz w:val="20"/>
    </w:rPr>
  </w:style>
  <w:style w:type="character" w:styleId="887">
    <w:name w:val="endnote reference"/>
    <w:basedOn w:val="900"/>
    <w:uiPriority w:val="99"/>
    <w:semiHidden/>
    <w:unhideWhenUsed/>
    <w:rPr>
      <w:vertAlign w:val="superscript"/>
    </w:rPr>
  </w:style>
  <w:style w:type="paragraph" w:styleId="888">
    <w:name w:val="toc 1"/>
    <w:basedOn w:val="899"/>
    <w:next w:val="899"/>
    <w:uiPriority w:val="39"/>
    <w:unhideWhenUsed/>
    <w:pPr>
      <w:ind w:left="0" w:right="0" w:firstLine="0"/>
      <w:spacing w:after="57"/>
    </w:pPr>
  </w:style>
  <w:style w:type="paragraph" w:styleId="889">
    <w:name w:val="toc 2"/>
    <w:basedOn w:val="899"/>
    <w:next w:val="899"/>
    <w:uiPriority w:val="39"/>
    <w:unhideWhenUsed/>
    <w:pPr>
      <w:ind w:left="283" w:right="0" w:firstLine="0"/>
      <w:spacing w:after="57"/>
    </w:pPr>
  </w:style>
  <w:style w:type="paragraph" w:styleId="890">
    <w:name w:val="toc 3"/>
    <w:basedOn w:val="899"/>
    <w:next w:val="899"/>
    <w:uiPriority w:val="39"/>
    <w:unhideWhenUsed/>
    <w:pPr>
      <w:ind w:left="567" w:right="0" w:firstLine="0"/>
      <w:spacing w:after="57"/>
    </w:pPr>
  </w:style>
  <w:style w:type="paragraph" w:styleId="891">
    <w:name w:val="toc 4"/>
    <w:basedOn w:val="899"/>
    <w:next w:val="899"/>
    <w:uiPriority w:val="39"/>
    <w:unhideWhenUsed/>
    <w:pPr>
      <w:ind w:left="850" w:right="0" w:firstLine="0"/>
      <w:spacing w:after="57"/>
    </w:pPr>
  </w:style>
  <w:style w:type="paragraph" w:styleId="892">
    <w:name w:val="toc 5"/>
    <w:basedOn w:val="899"/>
    <w:next w:val="899"/>
    <w:uiPriority w:val="39"/>
    <w:unhideWhenUsed/>
    <w:pPr>
      <w:ind w:left="1134" w:right="0" w:firstLine="0"/>
      <w:spacing w:after="57"/>
    </w:pPr>
  </w:style>
  <w:style w:type="paragraph" w:styleId="893">
    <w:name w:val="toc 6"/>
    <w:basedOn w:val="899"/>
    <w:next w:val="899"/>
    <w:uiPriority w:val="39"/>
    <w:unhideWhenUsed/>
    <w:pPr>
      <w:ind w:left="1417" w:right="0" w:firstLine="0"/>
      <w:spacing w:after="57"/>
    </w:pPr>
  </w:style>
  <w:style w:type="paragraph" w:styleId="894">
    <w:name w:val="toc 7"/>
    <w:basedOn w:val="899"/>
    <w:next w:val="899"/>
    <w:uiPriority w:val="39"/>
    <w:unhideWhenUsed/>
    <w:pPr>
      <w:ind w:left="1701" w:right="0" w:firstLine="0"/>
      <w:spacing w:after="57"/>
    </w:pPr>
  </w:style>
  <w:style w:type="paragraph" w:styleId="895">
    <w:name w:val="toc 8"/>
    <w:basedOn w:val="899"/>
    <w:next w:val="899"/>
    <w:uiPriority w:val="39"/>
    <w:unhideWhenUsed/>
    <w:pPr>
      <w:ind w:left="1984" w:right="0" w:firstLine="0"/>
      <w:spacing w:after="57"/>
    </w:pPr>
  </w:style>
  <w:style w:type="paragraph" w:styleId="896">
    <w:name w:val="toc 9"/>
    <w:basedOn w:val="899"/>
    <w:next w:val="899"/>
    <w:uiPriority w:val="39"/>
    <w:unhideWhenUsed/>
    <w:pPr>
      <w:ind w:left="2268" w:right="0" w:firstLine="0"/>
      <w:spacing w:after="57"/>
    </w:pPr>
  </w:style>
  <w:style w:type="paragraph" w:styleId="897">
    <w:name w:val="TOC Heading"/>
    <w:uiPriority w:val="39"/>
    <w:unhideWhenUsed/>
  </w:style>
  <w:style w:type="paragraph" w:styleId="898">
    <w:name w:val="table of figures"/>
    <w:basedOn w:val="899"/>
    <w:next w:val="899"/>
    <w:uiPriority w:val="99"/>
    <w:unhideWhenUsed/>
    <w:pPr>
      <w:spacing w:after="0" w:afterAutospacing="0"/>
    </w:pPr>
  </w:style>
  <w:style w:type="paragraph" w:styleId="899" w:default="1">
    <w:name w:val="Normal"/>
    <w:qFormat/>
    <w:pPr>
      <w:jc w:val="both"/>
      <w:spacing w:after="0"/>
    </w:pPr>
    <w:rPr>
      <w:rFonts w:ascii="Times New Roman" w:hAnsi="Times New Roman" w:eastAsia="Calibri" w:cs="Times New Roman"/>
      <w:sz w:val="28"/>
    </w:rPr>
  </w:style>
  <w:style w:type="character" w:styleId="900" w:default="1">
    <w:name w:val="Default Paragraph Font"/>
    <w:uiPriority w:val="1"/>
    <w:semiHidden/>
    <w:unhideWhenUsed/>
  </w:style>
  <w:style w:type="table" w:styleId="901" w:default="1">
    <w:name w:val="Normal Table"/>
    <w:uiPriority w:val="99"/>
    <w:semiHidden/>
    <w:unhideWhenUsed/>
    <w:tblPr>
      <w:tblInd w:w="0" w:type="dxa"/>
      <w:tblCellMar>
        <w:left w:w="108" w:type="dxa"/>
        <w:top w:w="0" w:type="dxa"/>
        <w:right w:w="108" w:type="dxa"/>
        <w:bottom w:w="0" w:type="dxa"/>
      </w:tblCellMar>
    </w:tblPr>
  </w:style>
  <w:style w:type="numbering" w:styleId="902" w:default="1">
    <w:name w:val="No List"/>
    <w:uiPriority w:val="99"/>
    <w:semiHidden/>
    <w:unhideWhenUsed/>
  </w:style>
  <w:style w:type="paragraph" w:styleId="903" w:customStyle="1">
    <w:name w:val="ConsPlusNormal"/>
    <w:pPr>
      <w:spacing w:after="0" w:line="240" w:lineRule="auto"/>
      <w:widowControl w:val="off"/>
    </w:pPr>
    <w:rPr>
      <w:rFonts w:ascii="Calibri" w:hAnsi="Calibri" w:eastAsia="Times New Roman" w:cs="Calibri"/>
      <w:szCs w:val="20"/>
      <w:lang w:eastAsia="ru-RU"/>
    </w:rPr>
  </w:style>
  <w:style w:type="paragraph" w:styleId="904" w:customStyle="1">
    <w:name w:val="ConsPlusTitle"/>
    <w:pPr>
      <w:spacing w:after="0" w:line="240" w:lineRule="auto"/>
      <w:widowControl w:val="off"/>
    </w:pPr>
    <w:rPr>
      <w:rFonts w:ascii="Calibri" w:hAnsi="Calibri" w:eastAsia="Times New Roman" w:cs="Calibri"/>
      <w:b/>
      <w:szCs w:val="20"/>
      <w:lang w:eastAsia="ru-RU"/>
    </w:rPr>
  </w:style>
  <w:style w:type="paragraph" w:styleId="905" w:customStyle="1">
    <w:name w:val="ConsPlusTitlePage"/>
    <w:pPr>
      <w:spacing w:after="0" w:line="240" w:lineRule="auto"/>
      <w:widowControl w:val="off"/>
    </w:pPr>
    <w:rPr>
      <w:rFonts w:ascii="Tahoma" w:hAnsi="Tahoma" w:eastAsia="Times New Roman" w:cs="Tahoma"/>
      <w:sz w:val="20"/>
      <w:szCs w:val="20"/>
      <w:lang w:eastAsia="ru-RU"/>
    </w:rPr>
  </w:style>
  <w:style w:type="paragraph" w:styleId="906">
    <w:name w:val="Header"/>
    <w:basedOn w:val="899"/>
    <w:link w:val="907"/>
    <w:uiPriority w:val="99"/>
    <w:unhideWhenUsed/>
    <w:pPr>
      <w:spacing w:line="240" w:lineRule="auto"/>
      <w:tabs>
        <w:tab w:val="center" w:pos="4677" w:leader="none"/>
        <w:tab w:val="right" w:pos="9355" w:leader="none"/>
      </w:tabs>
    </w:pPr>
  </w:style>
  <w:style w:type="character" w:styleId="907" w:customStyle="1">
    <w:name w:val="Верхний колонтитул Знак"/>
    <w:basedOn w:val="900"/>
    <w:link w:val="906"/>
    <w:uiPriority w:val="99"/>
    <w:rPr>
      <w:rFonts w:ascii="Times New Roman" w:hAnsi="Times New Roman" w:eastAsia="Calibri" w:cs="Times New Roman"/>
      <w:sz w:val="28"/>
    </w:rPr>
  </w:style>
  <w:style w:type="paragraph" w:styleId="908">
    <w:name w:val="Footer"/>
    <w:basedOn w:val="899"/>
    <w:link w:val="909"/>
    <w:uiPriority w:val="99"/>
    <w:unhideWhenUsed/>
    <w:pPr>
      <w:spacing w:line="240" w:lineRule="auto"/>
      <w:tabs>
        <w:tab w:val="center" w:pos="4677" w:leader="none"/>
        <w:tab w:val="right" w:pos="9355" w:leader="none"/>
      </w:tabs>
    </w:pPr>
  </w:style>
  <w:style w:type="character" w:styleId="909" w:customStyle="1">
    <w:name w:val="Нижний колонтитул Знак"/>
    <w:basedOn w:val="900"/>
    <w:link w:val="908"/>
    <w:uiPriority w:val="99"/>
    <w:rPr>
      <w:rFonts w:ascii="Times New Roman" w:hAnsi="Times New Roman" w:eastAsia="Calibri" w:cs="Times New Roman"/>
      <w:sz w:val="28"/>
    </w:rPr>
  </w:style>
  <w:style w:type="paragraph" w:styleId="910">
    <w:name w:val="Balloon Text"/>
    <w:basedOn w:val="899"/>
    <w:link w:val="911"/>
    <w:uiPriority w:val="99"/>
    <w:semiHidden/>
    <w:unhideWhenUsed/>
    <w:pPr>
      <w:spacing w:line="240" w:lineRule="auto"/>
    </w:pPr>
    <w:rPr>
      <w:rFonts w:ascii="Tahoma" w:hAnsi="Tahoma" w:cs="Tahoma"/>
      <w:sz w:val="16"/>
      <w:szCs w:val="16"/>
    </w:rPr>
  </w:style>
  <w:style w:type="character" w:styleId="911" w:customStyle="1">
    <w:name w:val="Текст выноски Знак"/>
    <w:basedOn w:val="900"/>
    <w:link w:val="910"/>
    <w:uiPriority w:val="99"/>
    <w:semiHidden/>
    <w:rPr>
      <w:rFonts w:ascii="Tahoma" w:hAnsi="Tahoma" w:eastAsia="Calibri" w:cs="Tahoma"/>
      <w:sz w:val="16"/>
      <w:szCs w:val="16"/>
    </w:rPr>
  </w:style>
  <w:style w:type="paragraph" w:styleId="912" w:customStyle="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899"/>
    <w:pPr>
      <w:jc w:val="left"/>
      <w:spacing w:before="100" w:beforeAutospacing="1" w:after="100" w:afterAutospacing="1" w:line="240" w:lineRule="auto"/>
    </w:pPr>
    <w:rPr>
      <w:rFonts w:ascii="Tahoma" w:hAnsi="Tahoma" w:eastAsia="Times New Roman" w:cs="Tahoma"/>
      <w:sz w:val="20"/>
      <w:szCs w:val="20"/>
      <w:lang w:val="en-US"/>
    </w:rPr>
  </w:style>
  <w:style w:type="table" w:styleId="913">
    <w:name w:val="Table Grid"/>
    <w:basedOn w:val="901"/>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https://oprt.tatarstan.ru/terentev-aleksandr-mihaylovich-8884769.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CBAAE-5473-4581-8269-CB5CC1ED1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Р7-Офис/7.4.0.351</Application>
  <Company>Министерство культуры Республики Татарстан</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Кутеева Гузель Раифовна</dc:creator>
  <cp:revision>13</cp:revision>
  <dcterms:created xsi:type="dcterms:W3CDTF">2024-04-20T17:24:00Z</dcterms:created>
  <dcterms:modified xsi:type="dcterms:W3CDTF">2026-09-04T10:53:04Z</dcterms:modified>
</cp:coreProperties>
</file>