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20"/>
        <w:pBdr/>
        <w:spacing w:after="0" w:before="0" w:line="264" w:lineRule="auto"/>
        <w:ind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ПРОЕКТ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20"/>
        <w:pBdr/>
        <w:spacing w:after="0" w:before="0" w:line="264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20"/>
        <w:pBdr/>
        <w:spacing w:after="0" w:before="0" w:line="264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КАБИНЕТ МИНИСТРОВ РЕСПУБЛИКИ ТАТАРСТАН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20"/>
        <w:pBdr/>
        <w:spacing w:after="0" w:before="0" w:line="264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ПОСТАНОВЛЕНИЕ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20"/>
        <w:pBdr/>
        <w:spacing w:after="0" w:before="0" w:line="264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20"/>
        <w:pBdr/>
        <w:spacing w:after="0" w:before="0" w:line="264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г. Казань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20"/>
        <w:pBdr/>
        <w:spacing w:after="0" w:before="0" w:line="264" w:lineRule="auto"/>
        <w:ind/>
        <w:jc w:val="both"/>
        <w:rPr/>
      </w:pPr>
      <w:r>
        <w:rPr>
          <w:rFonts w:cs="Times New Roman"/>
          <w:sz w:val="28"/>
        </w:rPr>
        <w:t xml:space="preserve">«___» _______ 2026</w:t>
        <w:tab/>
        <w:tab/>
        <w:tab/>
        <w:tab/>
        <w:tab/>
        <w:tab/>
        <w:tab/>
        <w:tab/>
        <w:tab/>
        <w:t xml:space="preserve">№ ___</w:t>
      </w:r>
      <w:r/>
    </w:p>
    <w:p>
      <w:pPr>
        <w:pStyle w:val="920"/>
        <w:pBdr/>
        <w:tabs>
          <w:tab w:val="clear" w:leader="none" w:pos="708"/>
          <w:tab w:val="left" w:leader="none" w:pos="2835"/>
          <w:tab w:val="left" w:leader="none" w:pos="3119"/>
          <w:tab w:val="left" w:leader="none" w:pos="3402"/>
          <w:tab w:val="left" w:leader="none" w:pos="4820"/>
          <w:tab w:val="left" w:leader="none" w:pos="5245"/>
        </w:tabs>
        <w:spacing w:line="240" w:lineRule="auto"/>
        <w:ind w:right="5385" w:firstLine="0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</w:r>
      <w:r>
        <w:rPr>
          <w:rFonts w:eastAsia="Times New Roman"/>
          <w:szCs w:val="28"/>
          <w:lang w:eastAsia="ru-RU"/>
        </w:rPr>
      </w:r>
      <w:r>
        <w:rPr>
          <w:rFonts w:eastAsia="Times New Roman"/>
          <w:szCs w:val="28"/>
          <w:lang w:eastAsia="ru-RU"/>
        </w:rPr>
      </w:r>
    </w:p>
    <w:p>
      <w:pPr>
        <w:pStyle w:val="920"/>
        <w:pBdr/>
        <w:tabs>
          <w:tab w:val="clear" w:leader="none" w:pos="708"/>
          <w:tab w:val="left" w:leader="none" w:pos="2835"/>
          <w:tab w:val="left" w:leader="none" w:pos="3119"/>
          <w:tab w:val="left" w:leader="none" w:pos="3402"/>
          <w:tab w:val="left" w:leader="none" w:pos="4820"/>
          <w:tab w:val="left" w:leader="none" w:pos="5245"/>
        </w:tabs>
        <w:spacing w:line="240" w:lineRule="auto"/>
        <w:ind w:right="5385" w:firstLine="0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</w:r>
      <w:r>
        <w:rPr>
          <w:rFonts w:eastAsia="Times New Roman"/>
          <w:szCs w:val="28"/>
          <w:lang w:eastAsia="ru-RU"/>
        </w:rPr>
      </w:r>
      <w:r>
        <w:rPr>
          <w:rFonts w:eastAsia="Times New Roman"/>
          <w:szCs w:val="28"/>
          <w:lang w:eastAsia="ru-RU"/>
        </w:rPr>
      </w:r>
    </w:p>
    <w:p>
      <w:pPr>
        <w:pStyle w:val="920"/>
        <w:pBdr/>
        <w:tabs>
          <w:tab w:val="clear" w:leader="none" w:pos="708"/>
          <w:tab w:val="left" w:leader="none" w:pos="2835"/>
          <w:tab w:val="left" w:leader="none" w:pos="2977"/>
          <w:tab w:val="left" w:leader="none" w:pos="3119"/>
          <w:tab w:val="left" w:leader="none" w:pos="3402"/>
          <w:tab w:val="left" w:leader="none" w:pos="5245"/>
        </w:tabs>
        <w:spacing w:line="240" w:lineRule="auto"/>
        <w:ind w:right="5103" w:firstLine="0"/>
        <w:rPr>
          <w:rFonts w:eastAsia="Times New Roman"/>
          <w:lang w:eastAsia="ru-RU"/>
        </w:rPr>
      </w:pPr>
      <w:r>
        <w:rPr>
          <w:rFonts w:eastAsia="Times New Roman"/>
          <w:szCs w:val="28"/>
          <w:lang w:eastAsia="ru-RU"/>
        </w:rPr>
        <w:t xml:space="preserve">О внесении изменений </w:t>
      </w:r>
      <w:r>
        <w:rPr>
          <w:rFonts w:eastAsia="Times New Roman"/>
          <w:szCs w:val="28"/>
          <w:lang w:eastAsia="ru-RU"/>
        </w:rPr>
        <w:t xml:space="preserve">в </w:t>
      </w:r>
      <w:r>
        <w:rPr>
          <w:szCs w:val="28"/>
        </w:rPr>
        <w:t xml:space="preserve">постановление Кабинета Министров Республики Татарстан от 01.12.2018 № 1073 «О нормативном количестве, пробеге и затратах на текущее содержание транспортных средств, обслуживающих органы государственной власти Республики Татарстан</w:t>
      </w:r>
      <w:r>
        <w:rPr>
          <w:rFonts w:eastAsia="Times New Roman"/>
          <w:szCs w:val="28"/>
          <w:lang w:eastAsia="ru-RU"/>
        </w:rPr>
        <w:t xml:space="preserve">, их территориальные органы и подведомственные учреждения»</w:t>
      </w:r>
      <w:r>
        <w:rPr>
          <w:rFonts w:eastAsia="Times New Roman"/>
          <w:lang w:eastAsia="ru-RU"/>
        </w:rPr>
      </w:r>
      <w:r>
        <w:rPr>
          <w:rFonts w:eastAsia="Times New Roman"/>
          <w:lang w:eastAsia="ru-RU"/>
        </w:rPr>
      </w:r>
    </w:p>
    <w:p>
      <w:pPr>
        <w:pStyle w:val="920"/>
        <w:widowControl w:val="false"/>
        <w:pBdr/>
        <w:spacing w:line="240" w:lineRule="auto"/>
        <w:ind w:firstLine="540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pStyle w:val="920"/>
        <w:widowControl w:val="false"/>
        <w:pBdr/>
        <w:spacing w:line="240" w:lineRule="auto"/>
        <w:ind w:firstLine="540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 w14:paraId="04FFF529">
      <w:pPr>
        <w:pStyle w:val="920"/>
        <w:widowControl w:val="false"/>
        <w:pBdr/>
        <w:spacing w:line="240" w:lineRule="auto"/>
        <w:ind w:firstLine="540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 w14:paraId="5690AD55">
      <w:pPr>
        <w:pStyle w:val="920"/>
        <w:widowControl w:val="false"/>
        <w:pBdr/>
        <w:spacing w:line="240" w:lineRule="auto"/>
        <w:ind w:firstLine="709"/>
        <w:rPr>
          <w:spacing w:val="20"/>
          <w:szCs w:val="28"/>
        </w:rPr>
      </w:pPr>
      <w:r>
        <w:rPr>
          <w:szCs w:val="28"/>
        </w:rPr>
        <w:t xml:space="preserve">Кабинет Министров Республики Татарстан ПОСТАНОВЛЯЕТ</w:t>
      </w:r>
      <w:r>
        <w:rPr>
          <w:spacing w:val="20"/>
          <w:szCs w:val="28"/>
        </w:rPr>
        <w:t xml:space="preserve">:</w:t>
      </w:r>
      <w:r>
        <w:rPr>
          <w:spacing w:val="20"/>
          <w:szCs w:val="28"/>
        </w:rPr>
      </w:r>
      <w:r>
        <w:rPr>
          <w:spacing w:val="20"/>
          <w:szCs w:val="28"/>
        </w:rPr>
      </w:r>
    </w:p>
    <w:p w14:paraId="6871BC74">
      <w:pPr>
        <w:pStyle w:val="920"/>
        <w:widowControl w:val="false"/>
        <w:pBdr/>
        <w:spacing w:line="240" w:lineRule="auto"/>
        <w:ind w:firstLine="709"/>
        <w:rPr>
          <w:spacing w:val="20"/>
          <w:szCs w:val="28"/>
        </w:rPr>
      </w:pPr>
      <w:r>
        <w:rPr>
          <w:spacing w:val="20"/>
          <w:szCs w:val="28"/>
        </w:rPr>
      </w:r>
      <w:r>
        <w:rPr>
          <w:spacing w:val="20"/>
          <w:szCs w:val="28"/>
        </w:rPr>
      </w:r>
      <w:r>
        <w:rPr>
          <w:spacing w:val="20"/>
          <w:szCs w:val="28"/>
        </w:rPr>
      </w:r>
    </w:p>
    <w:p w14:paraId="4A601CE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76" w:lineRule="auto"/>
        <w:ind w:right="0" w:firstLine="708" w:left="0"/>
        <w:jc w:val="both"/>
        <w:rPr>
          <w:highlight w:val="none"/>
        </w:rPr>
      </w:pPr>
      <w:r>
        <w:rPr>
          <w:szCs w:val="28"/>
        </w:rPr>
        <w:t xml:space="preserve">Внести </w:t>
      </w:r>
      <w:r>
        <w:rPr>
          <w:rFonts w:eastAsia="Times New Roman"/>
          <w:szCs w:val="28"/>
          <w:lang w:eastAsia="ru-RU"/>
        </w:rPr>
        <w:t xml:space="preserve">в</w:t>
      </w:r>
      <w:r>
        <w:rPr>
          <w:rFonts w:eastAsia="Times New Roman"/>
          <w:szCs w:val="28"/>
          <w:lang w:eastAsia="ru-RU"/>
        </w:rPr>
        <w:t xml:space="preserve"> </w:t>
      </w:r>
      <w:r>
        <w:rPr>
          <w:szCs w:val="28"/>
        </w:rPr>
        <w:t xml:space="preserve">постановление Кабинета Министров Республики Татарстан от 01.12.2018 № 1073 «О нормативном количестве, пробеге и затратах на текущее содержание транспортных средств, обслуживающих органы государственной власти Республики Татарстан</w:t>
      </w:r>
      <w:r>
        <w:rPr>
          <w:rFonts w:eastAsia="Times New Roman"/>
          <w:szCs w:val="28"/>
          <w:lang w:eastAsia="ru-RU"/>
        </w:rPr>
        <w:t xml:space="preserve">, их территориальные органы и подведомственные учреждения» </w:t>
      </w:r>
      <w:r>
        <w:rPr>
          <w:szCs w:val="28"/>
          <w:lang w:eastAsia="ru-RU"/>
        </w:rPr>
        <w:t xml:space="preserve">(с изменениями, внесенными постановлениями Кабинета Министров Республики Татарстан от 07.03</w:t>
      </w:r>
      <w:r>
        <w:rPr>
          <w:szCs w:val="28"/>
          <w:lang w:eastAsia="ru-RU"/>
        </w:rPr>
        <w:t xml:space="preserve">.2019 №165, от 17.05.2019  № 402, от 13.07.2019 № 572, от 02.11.2019   № 1006, от 18.02.2020 № 123, от 27.04.2020 № 331, от 09.06.2020 № 477, от 24.07.2020 № 622, от 05.09.2020 № 790, от 21.11.2020 № 1042, от 30.12.2020 № 1230, от 14.05.202</w:t>
      </w:r>
      <w:bookmarkStart w:id="0" w:name="_GoBack"/>
      <w:r/>
      <w:bookmarkEnd w:id="0"/>
      <w:r>
        <w:rPr>
          <w:szCs w:val="28"/>
          <w:lang w:eastAsia="ru-RU"/>
        </w:rPr>
        <w:t xml:space="preserve">1 № 334, от 30.06.2021 № 520, от 17.08.2021 № 739, от 01.09.2021 № 803, от 29.09.2021 № 927, от 14.12.2021 № 1229, от 30.12.2021 № 1357, от 24.02.2022 № 160, от 23.03.2022 № 259, от 07.04.2022 № 323, от 11.04.2022 № 345,</w:t>
      </w:r>
      <w:r>
        <w:rPr>
          <w:szCs w:val="28"/>
        </w:rPr>
        <w:t xml:space="preserve"> </w:t>
      </w:r>
      <w:r>
        <w:rPr>
          <w:szCs w:val="28"/>
          <w:lang w:eastAsia="ru-RU"/>
        </w:rPr>
        <w:t xml:space="preserve">от 13.08.2022 № 806,  от 05.09.2022 № 960, от 06.10.2022 № 1077, от 10.10.2022 № 1088, от 28.11.2022 № 1265, от 03.02.2023  № 93, от 14.02.2023 № 144, от 20.03.2023 № 283, от 27.04.2023 № 536, от 16.06.2023 № 7</w:t>
      </w:r>
      <w:r>
        <w:rPr>
          <w:szCs w:val="28"/>
          <w:lang w:eastAsia="ru-RU"/>
        </w:rPr>
        <w:t xml:space="preserve">25, от 22.06.2023 № 732, от 04.07.2023 № 791, от 08.08.2023 № 959, от 06.10.2023 № 1246, от 30.10.2023 № 1364, от 21.12.2023 № 1666, от 30.12.2023 № 1762, от 04.03.2024 № 121, от 23.05.2024 № 359, от 02.08.2024 № 617, от 28.08.2024 № 708, </w:t>
      </w:r>
      <w:r>
        <w:rPr>
          <w:highlight w:val="none"/>
        </w:rPr>
        <w:t xml:space="preserve">от 16.11.2024 № 1016, от 25.11.2024 № 1052, от 29.11.2024 № 1081, от 20.01.2025 № 24</w:t>
      </w:r>
      <w:r>
        <w:rPr>
          <w:highlight w:val="none"/>
        </w:rPr>
        <w:t xml:space="preserve">, от 17.02.2025 № 91, </w:t>
      </w:r>
      <w:r>
        <w:rPr>
          <w:highlight w:val="none"/>
        </w:rPr>
        <w:t xml:space="preserve">от 24.03.2025 № 167,</w:t>
      </w:r>
      <w:r>
        <w:rPr>
          <w:highlight w:val="none"/>
        </w:rPr>
        <w:t xml:space="preserve"> от 10.05.2025 № 307, от 24.10.2025 № 860, от 20.11.2025 № 972, от 28.01.2026 №48, от 30.01.2026 №58</w:t>
      </w:r>
      <w:r>
        <w:rPr>
          <w:highlight w:val="none"/>
        </w:rPr>
        <w:t xml:space="preserve">, от 21.05.2026 № 726, от 07.07.2026 № 851, от 16.07.2026 № 880, от 15.08.2026 №941), </w:t>
      </w:r>
      <w:r>
        <w:rPr>
          <w:szCs w:val="28"/>
          <w:shd w:val="clear" w:color="auto" w:fill="ffffff"/>
        </w:rPr>
        <w:t xml:space="preserve">с</w:t>
      </w:r>
      <w:r>
        <w:rPr>
          <w:szCs w:val="28"/>
        </w:rPr>
        <w:t xml:space="preserve">ледующие изменения:</w:t>
      </w:r>
      <w:r>
        <w:rPr>
          <w:highlight w:val="none"/>
        </w:rPr>
      </w:r>
      <w:r>
        <w:rPr>
          <w:highlight w:val="none"/>
        </w:rPr>
      </w:r>
    </w:p>
    <w:p w14:paraId="00978C4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tLeast"/>
        <w:ind w:right="0" w:firstLine="540" w:lef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r>
    </w:p>
    <w:p w14:paraId="39520CA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beforeAutospacing="0" w:line="276" w:lineRule="auto"/>
        <w:ind w:right="0"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нормативы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обеспеченности транспортными средствами (предельное количество) и нормативный пробег транспортных средств для Министерства образования и науки Республики Татарстан и его подведомственных учреждений, утвержденные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указанн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ым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постановлением: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6945F60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beforeAutospacing="0" w:line="276" w:lineRule="auto"/>
        <w:ind w:right="0"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дополнить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пунктом 26 следующего содержания: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2D9FD3F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tLeast"/>
        <w:ind w:right="0" w:firstLine="0" w:left="0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 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Style w:val="973"/>
        <w:tblInd w:w="15" w:type="dxa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3165"/>
        <w:gridCol w:w="850"/>
        <w:gridCol w:w="850"/>
        <w:gridCol w:w="709"/>
        <w:gridCol w:w="2409"/>
        <w:gridCol w:w="885"/>
        <w:gridCol w:w="720"/>
      </w:tblGrid>
      <w:tr>
        <w:trPr>
          <w:trHeight w:val="1429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55" w:type="dxa"/>
            <w:vAlign w:val="top"/>
          </w:tcPr>
          <w:p w14:paraId="2F4FC03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«26.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65" w:type="dxa"/>
            <w:vAlign w:val="top"/>
          </w:tcPr>
          <w:p w14:paraId="7DD87D7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Государственное автономное общеобразовательное учреждение </w:t>
            </w:r>
            <w:r>
              <w:rPr>
                <w:sz w:val="28"/>
                <w:szCs w:val="28"/>
              </w:rPr>
              <w:t xml:space="preserve">«Лицей № 1 им. М.К. Тагирова» г. Альметьевск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top"/>
          </w:tcPr>
          <w:p w14:paraId="01B4140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 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top"/>
          </w:tcPr>
          <w:p w14:paraId="3580DC1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top"/>
          </w:tcPr>
          <w:p w14:paraId="367B9F43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09" w:type="dxa"/>
            <w:vAlign w:val="top"/>
          </w:tcPr>
          <w:p w14:paraId="6EE6CFB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автобус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85" w:type="dxa"/>
            <w:vAlign w:val="top"/>
          </w:tcPr>
          <w:p w14:paraId="7A5B2EA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17 010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0DB7C0F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70»;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 w14:paraId="03210E0E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tLeast"/>
        <w:ind w:right="0" w:firstLine="0" w:left="0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 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345D9D7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beforeAutospacing="0" w:line="276" w:lineRule="auto"/>
        <w:ind w:right="0" w:firstLine="709" w:lef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строке «Итого»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цифры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«734» заменить цифрами «735»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</w:p>
    <w:p w14:paraId="286F613E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beforeAutospacing="0" w:line="276" w:lineRule="auto"/>
        <w:ind w:right="0" w:firstLine="709" w:lef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r>
    </w:p>
    <w:p w14:paraId="30FABD5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before="0" w:beforeAutospacing="0" w:line="276" w:lineRule="auto"/>
        <w:ind w:right="0" w:firstLine="709" w:lef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нормативах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обеспеченности транспортными средствами (предельном количестве) и нормативном пробеге транспортных средств для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органов исполнительной власти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Республики Татарстан специальной компетенции и их подведомственных учреждений, утвержденных указанным постановлением: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 w14:paraId="1E74E90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before="0" w:beforeAutospacing="0" w:line="276" w:lineRule="auto"/>
        <w:ind w:right="0" w:firstLine="709"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разделе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«Государственная инспекция Республики Татарстан по обеспечению государственного контроля за производством, оборотом и качеством этилового спирта, алкогольной продукции и защите прав потребителей»: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2F1EAD0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before="0" w:beforeAutospacing="0" w:line="276" w:lineRule="auto"/>
        <w:ind w:right="0" w:firstLine="709" w:lef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графе 4 строки «дежурный» цифру «6» заменить цифрой «9»;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 w14:paraId="31B2FA0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before="0" w:beforeAutospacing="0" w:line="276" w:lineRule="auto"/>
        <w:ind w:right="0" w:firstLine="709" w:left="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графе 4 строки 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Территориальные органы (на 7 территориальных органов)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 цифры «14» заменить цифрами «13»;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 w14:paraId="54C3372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before="0" w:beforeAutospacing="0" w:line="276" w:lineRule="auto"/>
        <w:ind w:right="0" w:firstLine="709" w:left="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 строке «Итого» цифры «28» заменить цифрами»30»;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 w14:paraId="77D7896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before="0" w:beforeAutospacing="0" w:line="276" w:lineRule="auto"/>
        <w:ind w:right="0" w:firstLine="709"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графе 4 строки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«в том числе обслуживаемые государственным бюджетным учреждением «Хозяйственное управление при Кабинете Министров Республики Татарстан» цифру «6» заменить цифрой «8»;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496E19D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beforeAutospacing="0" w:line="276" w:lineRule="auto"/>
        <w:ind w:right="0" w:firstLine="540" w:lef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r>
    </w:p>
    <w:p w14:paraId="73A3E99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beforeAutospacing="0" w:line="276" w:lineRule="auto"/>
        <w:ind w:right="0" w:firstLine="540" w:lef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sz w:val="24"/>
          <w:szCs w:val="24"/>
        </w:rPr>
      </w:r>
      <w:r>
        <w:rPr>
          <w:rFonts w:ascii="Times New Roman" w:hAnsi="Times New Roman" w:eastAsia="Times New Roman" w:cs="Times New Roman"/>
          <w:sz w:val="28"/>
          <w:szCs w:val="24"/>
        </w:rPr>
        <w:t xml:space="preserve">примечание</w:t>
      </w: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 к нормативам обеспеченности транспортными средствами (предельному количеству) и нормативному пробегу транспортных средств для органов исполнительной власти Республики Татарстан специальной компетенции и их подведомственных учреждений, утвержденным указанн</w:t>
      </w: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ым постановлением, изложить в следующей редакции: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 w14:paraId="01BA057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beforeAutospacing="0" w:line="276" w:lineRule="auto"/>
        <w:ind w:right="0" w:firstLine="540" w:lef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«Примечание.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 w14:paraId="5B232B52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beforeAutospacing="0" w:line="276" w:lineRule="auto"/>
        <w:ind w:right="0" w:firstLine="540"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Для Главного управления ветеринарии Кабинета Министров Республики Татарстан допускается использование дополнительно следующего специализированного транспорта: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62B3A77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beforeAutospacing="0" w:line="276" w:lineRule="auto"/>
        <w:ind w:right="0" w:firstLine="540" w:left="0"/>
        <w:jc w:val="both"/>
        <w:rPr>
          <w:sz w:val="28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4"/>
          <w:highlight w:val="none"/>
        </w:rPr>
        <w:t xml:space="preserve">спецтранспорт для ветеринарной службы - 101 единица;</w:t>
      </w:r>
      <w:r>
        <w:rPr>
          <w:sz w:val="28"/>
          <w:szCs w:val="24"/>
          <w:highlight w:val="none"/>
        </w:rPr>
      </w:r>
      <w:r>
        <w:rPr>
          <w:sz w:val="28"/>
          <w:szCs w:val="24"/>
          <w:highlight w:val="none"/>
        </w:rPr>
      </w:r>
    </w:p>
    <w:p w14:paraId="21270A3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beforeAutospacing="0" w:line="276" w:lineRule="auto"/>
        <w:ind w:right="0" w:firstLine="540" w:left="0"/>
        <w:jc w:val="both"/>
        <w:rPr>
          <w:sz w:val="28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4"/>
          <w:highlight w:val="none"/>
        </w:rPr>
        <w:t xml:space="preserve">передвижная ветеринарная клиника - 48 единиц;</w:t>
      </w:r>
      <w:r>
        <w:rPr>
          <w:sz w:val="28"/>
          <w:szCs w:val="24"/>
          <w:highlight w:val="none"/>
        </w:rPr>
      </w:r>
      <w:r>
        <w:rPr>
          <w:sz w:val="28"/>
          <w:szCs w:val="24"/>
          <w:highlight w:val="none"/>
        </w:rPr>
      </w:r>
    </w:p>
    <w:p w14:paraId="2521B3C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beforeAutospacing="0" w:line="276" w:lineRule="auto"/>
        <w:ind w:right="0" w:firstLine="540" w:left="0"/>
        <w:jc w:val="both"/>
        <w:rPr>
          <w:sz w:val="28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4"/>
          <w:highlight w:val="none"/>
        </w:rPr>
        <w:t xml:space="preserve">дезинфекционная установка - </w:t>
      </w:r>
      <w:r>
        <w:rPr>
          <w:rFonts w:ascii="Times New Roman" w:hAnsi="Times New Roman" w:eastAsia="Times New Roman" w:cs="Times New Roman"/>
          <w:color w:val="000000"/>
          <w:sz w:val="28"/>
          <w:szCs w:val="24"/>
          <w:highlight w:val="none"/>
        </w:rPr>
        <w:t xml:space="preserve">81 </w:t>
      </w:r>
      <w:r>
        <w:rPr>
          <w:rFonts w:ascii="Times New Roman" w:hAnsi="Times New Roman" w:eastAsia="Times New Roman" w:cs="Times New Roman"/>
          <w:color w:val="000000"/>
          <w:sz w:val="28"/>
          <w:szCs w:val="24"/>
          <w:highlight w:val="none"/>
        </w:rPr>
        <w:t xml:space="preserve">единиц</w:t>
      </w:r>
      <w:r>
        <w:rPr>
          <w:rFonts w:ascii="Times New Roman" w:hAnsi="Times New Roman" w:eastAsia="Times New Roman" w:cs="Times New Roman"/>
          <w:color w:val="000000"/>
          <w:sz w:val="28"/>
          <w:szCs w:val="24"/>
          <w:highlight w:val="none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4"/>
          <w:highlight w:val="none"/>
        </w:rPr>
        <w:t xml:space="preserve">;</w:t>
      </w:r>
      <w:r>
        <w:rPr>
          <w:sz w:val="28"/>
          <w:szCs w:val="24"/>
          <w:highlight w:val="none"/>
        </w:rPr>
      </w:r>
      <w:r>
        <w:rPr>
          <w:sz w:val="28"/>
          <w:szCs w:val="24"/>
          <w:highlight w:val="none"/>
        </w:rPr>
      </w:r>
    </w:p>
    <w:p w14:paraId="573995A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beforeAutospacing="0" w:line="276" w:lineRule="auto"/>
        <w:ind w:right="0" w:firstLine="540" w:left="0"/>
        <w:jc w:val="both"/>
        <w:rPr>
          <w:sz w:val="28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4"/>
          <w:highlight w:val="none"/>
        </w:rPr>
        <w:t xml:space="preserve">прочие - </w:t>
      </w:r>
      <w:r>
        <w:rPr>
          <w:rFonts w:ascii="Times New Roman" w:hAnsi="Times New Roman" w:eastAsia="Times New Roman" w:cs="Times New Roman"/>
          <w:color w:val="000000"/>
          <w:sz w:val="28"/>
          <w:szCs w:val="24"/>
          <w:highlight w:val="none"/>
        </w:rPr>
        <w:t xml:space="preserve">3</w:t>
      </w:r>
      <w:r>
        <w:rPr>
          <w:rFonts w:ascii="Times New Roman" w:hAnsi="Times New Roman" w:eastAsia="Times New Roman" w:cs="Times New Roman"/>
          <w:color w:val="000000"/>
          <w:sz w:val="28"/>
          <w:szCs w:val="24"/>
          <w:highlight w:val="none"/>
        </w:rPr>
        <w:t xml:space="preserve"> единицы;</w:t>
      </w:r>
      <w:r>
        <w:rPr>
          <w:sz w:val="28"/>
          <w:szCs w:val="24"/>
          <w:highlight w:val="none"/>
        </w:rPr>
      </w:r>
      <w:r>
        <w:rPr>
          <w:sz w:val="28"/>
          <w:szCs w:val="24"/>
          <w:highlight w:val="none"/>
        </w:rPr>
      </w:r>
    </w:p>
    <w:p w14:paraId="50A0684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beforeAutospacing="0" w:line="276" w:lineRule="auto"/>
        <w:ind w:right="0" w:firstLine="540" w:left="0"/>
        <w:jc w:val="both"/>
        <w:rPr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4"/>
          <w:highlight w:val="none"/>
        </w:rPr>
        <w:t xml:space="preserve">автосамосвал с крано-манипуляторной установкой (КМУ) для перевозки биологических отходов - </w:t>
      </w:r>
      <w:r>
        <w:rPr>
          <w:rFonts w:ascii="Times New Roman" w:hAnsi="Times New Roman" w:eastAsia="Times New Roman" w:cs="Times New Roman"/>
          <w:color w:val="000000"/>
          <w:sz w:val="28"/>
          <w:szCs w:val="24"/>
          <w:highlight w:val="none"/>
        </w:rPr>
        <w:t xml:space="preserve">39</w:t>
      </w:r>
      <w:r>
        <w:rPr>
          <w:rFonts w:ascii="Times New Roman" w:hAnsi="Times New Roman" w:eastAsia="Times New Roman" w:cs="Times New Roman"/>
          <w:color w:val="000000"/>
          <w:sz w:val="28"/>
          <w:szCs w:val="24"/>
          <w:highlight w:val="none"/>
        </w:rPr>
        <w:t xml:space="preserve"> единиц.</w:t>
      </w:r>
      <w:r>
        <w:rPr>
          <w:sz w:val="24"/>
          <w:szCs w:val="24"/>
          <w:highlight w:val="none"/>
        </w:rPr>
        <w:t xml:space="preserve">».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 w14:paraId="53C993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288" w:lineRule="atLeast"/>
        <w:ind w:right="0" w:firstLine="540" w:left="0"/>
        <w:jc w:val="both"/>
        <w:rPr>
          <w:sz w:val="28"/>
          <w:szCs w:val="28"/>
        </w:rPr>
      </w:pPr>
      <w:r>
        <w:rPr>
          <w:sz w:val="24"/>
          <w:szCs w:val="24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2B5F523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tLeast"/>
        <w:ind w:right="0" w:firstLine="540" w:lef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r>
    </w:p>
    <w:p>
      <w:pPr>
        <w:pStyle w:val="920"/>
        <w:pBdr/>
        <w:spacing w:line="240" w:lineRule="auto"/>
        <w:ind/>
        <w:rPr/>
      </w:pPr>
      <w:r>
        <w:rPr>
          <w:szCs w:val="28"/>
          <w:highlight w:val="none"/>
        </w:rPr>
      </w:r>
      <w:r/>
    </w:p>
    <w:p>
      <w:pPr>
        <w:pStyle w:val="920"/>
        <w:pBdr/>
        <w:spacing w:line="240" w:lineRule="auto"/>
        <w:ind/>
        <w:rPr>
          <w:highlight w:val="none"/>
        </w:rPr>
      </w:pPr>
      <w:r>
        <w:rPr>
          <w:szCs w:val="28"/>
        </w:rPr>
        <w:t xml:space="preserve">Премьер-министр                                                                                       А.В. Песошин</w:t>
      </w:r>
      <w:r>
        <w:rPr>
          <w:highlight w:val="none"/>
        </w:rPr>
      </w:r>
      <w:r>
        <w:rPr>
          <w:highlight w:val="none"/>
        </w:rPr>
      </w:r>
    </w:p>
    <w:p>
      <w:pPr>
        <w:pStyle w:val="920"/>
        <w:pBdr/>
        <w:spacing w:line="240" w:lineRule="auto"/>
        <w:ind/>
        <w:rPr/>
      </w:pPr>
      <w:r>
        <w:rPr>
          <w:szCs w:val="28"/>
        </w:rPr>
        <w:t xml:space="preserve">Республики Татарстан</w:t>
        <w:tab/>
        <w:t xml:space="preserve">        </w:t>
      </w:r>
      <w:r>
        <w:rPr>
          <w:szCs w:val="28"/>
        </w:rPr>
      </w:r>
      <w:r/>
    </w:p>
    <w:p w14:paraId="3F2CCF8F">
      <w:pPr>
        <w:pBdr/>
        <w:spacing w:line="276" w:lineRule="auto"/>
        <w:ind w:firstLine="0"/>
        <w:jc w:val="center"/>
        <w:rPr>
          <w:b/>
          <w:bCs/>
        </w:rPr>
        <w:sectPr>
          <w:headerReference w:type="default" r:id="rId9"/>
          <w:headerReference w:type="first" r:id="rId10"/>
          <w:footerReference w:type="first" r:id="rId11"/>
          <w:footnotePr/>
          <w:endnotePr/>
          <w:type w:val="nextPage"/>
          <w:pgSz w:h="16838" w:orient="portrait" w:w="11906"/>
          <w:pgMar w:top="1134" w:right="567" w:bottom="1134" w:left="1134" w:header="709" w:footer="709" w:gutter="0"/>
          <w:pgNumType w:start="1"/>
          <w:cols w:num="1" w:sep="0" w:space="1701" w:equalWidth="1"/>
          <w:titlePg/>
        </w:sectPr>
      </w:pPr>
      <w:r>
        <w:rPr>
          <w:b/>
        </w:rPr>
      </w:r>
      <w:r>
        <w:rPr>
          <w:b/>
          <w:bCs/>
        </w:rPr>
      </w:r>
      <w:r>
        <w:rPr>
          <w:b/>
          <w:bCs/>
        </w:rPr>
      </w:r>
    </w:p>
    <w:p w14:paraId="010F0A16">
      <w:pPr>
        <w:pBdr/>
        <w:spacing w:line="276" w:lineRule="auto"/>
        <w:ind w:firstLine="0"/>
        <w:jc w:val="center"/>
        <w:rPr>
          <w:b/>
          <w:bCs/>
        </w:rPr>
        <w:sectPr>
          <w:footnotePr/>
          <w:endnotePr/>
          <w:type w:val="continuous"/>
          <w:pgSz w:h="16838" w:orient="portrait" w:w="11906"/>
          <w:pgMar w:top="1134" w:right="567" w:bottom="680" w:left="1134" w:header="709" w:footer="709" w:gutter="0"/>
          <w:cols w:num="1" w:sep="0" w:space="1701" w:equalWidth="1"/>
          <w:titlePg/>
        </w:sectPr>
      </w:pPr>
      <w:r>
        <w:rPr>
          <w:b/>
        </w:rPr>
      </w:r>
      <w:r>
        <w:rPr>
          <w:b/>
          <w:bCs/>
          <w:highlight w:val="none"/>
        </w:rPr>
      </w:r>
    </w:p>
    <w:p w14:paraId="55CAD5A7">
      <w:pPr>
        <w:pBdr/>
        <w:spacing w:line="276" w:lineRule="auto"/>
        <w:ind w:firstLine="0"/>
        <w:jc w:val="center"/>
        <w:rPr>
          <w:b/>
          <w:bCs/>
          <w:highlight w:val="none"/>
        </w:rPr>
      </w:pPr>
      <w:r>
        <w:rPr>
          <w:b/>
        </w:rPr>
        <w:t xml:space="preserve">ПОЯСНИТЕЛЬНАЯ ЗАПИСКА</w:t>
      </w:r>
      <w:r/>
      <w:r/>
    </w:p>
    <w:p w14:paraId="4CD01BCC">
      <w:pPr>
        <w:pBdr/>
        <w:spacing w:line="276" w:lineRule="auto"/>
        <w:ind w:firstLine="0"/>
        <w:jc w:val="center"/>
        <w:rPr>
          <w:b/>
          <w:bCs/>
        </w:rPr>
      </w:pPr>
      <w:r>
        <w:rPr>
          <w:b/>
        </w:rPr>
        <w:t xml:space="preserve">к проекту постановления Кабинета Министров Р</w:t>
      </w:r>
      <w:r>
        <w:rPr>
          <w:b/>
          <w:bCs/>
        </w:rPr>
        <w:t xml:space="preserve">еспублики Татарстан</w:t>
      </w:r>
      <w:r>
        <w:rPr>
          <w:b/>
          <w:bCs/>
        </w:rPr>
      </w:r>
      <w:r>
        <w:rPr>
          <w:b/>
          <w:bCs/>
        </w:rPr>
      </w:r>
    </w:p>
    <w:p w14:paraId="364AEFE4">
      <w:pPr>
        <w:pBdr/>
        <w:spacing w:line="276" w:lineRule="auto"/>
        <w:ind w:firstLine="0"/>
        <w:jc w:val="center"/>
        <w:rPr>
          <w:b/>
          <w:bCs/>
          <w:highlight w:val="none"/>
          <w:lang w:eastAsia="ru-RU"/>
        </w:rPr>
      </w:pPr>
      <w:r>
        <w:rPr>
          <w:b/>
          <w:bCs/>
          <w:lang w:eastAsia="ru-RU"/>
        </w:rPr>
        <w:t xml:space="preserve">«О внесении изменений в </w:t>
      </w:r>
      <w:r>
        <w:rPr>
          <w:b/>
          <w:bCs/>
        </w:rPr>
        <w:t xml:space="preserve">постановление Кабинета Министров Республики Татарстан от 01.12.2018 № 1073 «О нормативном количестве, пробеге и затратах на текущее содержание транспортных средств, обслуживающих органы государственной власти Республики Татарстан</w:t>
      </w:r>
      <w:r>
        <w:rPr>
          <w:b/>
          <w:bCs/>
          <w:lang w:eastAsia="ru-RU"/>
        </w:rPr>
        <w:t xml:space="preserve">, их территориальные органы</w:t>
      </w:r>
      <w:r>
        <w:rPr>
          <w:b/>
          <w:bCs/>
          <w:lang w:eastAsia="ru-RU"/>
        </w:rPr>
        <w:t xml:space="preserve"> и подведомственные учреждения»</w:t>
      </w:r>
      <w:r>
        <w:rPr>
          <w:b/>
          <w:bCs/>
        </w:rPr>
      </w:r>
      <w:r>
        <w:rPr>
          <w:b/>
          <w:bCs/>
          <w:highlight w:val="none"/>
          <w:lang w:eastAsia="ru-RU"/>
        </w:rPr>
      </w:r>
    </w:p>
    <w:p w14:paraId="0D30649C">
      <w:pPr>
        <w:pBdr/>
        <w:spacing w:line="276" w:lineRule="auto"/>
        <w:ind w:firstLine="0"/>
        <w:jc w:val="center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 w14:paraId="4DD91F8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12" w:lineRule="auto"/>
        <w:ind w:right="0" w:firstLine="709" w:left="0"/>
        <w:jc w:val="both"/>
        <w:rPr>
          <w:highlight w:val="white"/>
        </w:rPr>
      </w:pPr>
      <w:r>
        <w:t xml:space="preserve">Проект постановления Кабинета Министров Республики Татарстан </w:t>
      </w:r>
      <w:r>
        <w:rPr>
          <w:rFonts w:eastAsia="Times New Roman"/>
          <w:szCs w:val="28"/>
          <w:lang w:eastAsia="ru-RU"/>
        </w:rPr>
        <w:t xml:space="preserve">«О внесении изменений в </w:t>
      </w:r>
      <w:r>
        <w:rPr>
          <w:szCs w:val="28"/>
        </w:rPr>
        <w:t xml:space="preserve">постановление Кабинета Министров Республики Татарстан от 01.12.2018 № 1073 «О нормативном количестве, пробеге и затратах на текущее содерж</w:t>
      </w:r>
      <w:r>
        <w:rPr>
          <w:szCs w:val="28"/>
        </w:rPr>
        <w:t xml:space="preserve">ание транспортных средств, обслуживающих органы государственной власти Республики Татарстан</w:t>
      </w:r>
      <w:r>
        <w:rPr>
          <w:rFonts w:eastAsia="Times New Roman"/>
          <w:szCs w:val="28"/>
          <w:lang w:eastAsia="ru-RU"/>
        </w:rPr>
        <w:t xml:space="preserve">, их территориальные органы и подведомственные учреждения»</w:t>
      </w:r>
      <w:r>
        <w:rPr>
          <w:lang w:eastAsia="ru-RU"/>
        </w:rPr>
        <w:t xml:space="preserve"> (далее - ПКМ 1073)</w:t>
      </w:r>
      <w:r>
        <w:t xml:space="preserve"> р</w:t>
      </w:r>
      <w:r>
        <w:rPr>
          <w:highlight w:val="white"/>
        </w:rPr>
        <w:t xml:space="preserve">азработан во исполнение следующих поручений:</w:t>
      </w:r>
      <w:r>
        <w:rPr>
          <w:highlight w:val="white"/>
        </w:rPr>
      </w:r>
      <w:r>
        <w:rPr>
          <w:highlight w:val="white"/>
        </w:rPr>
      </w:r>
    </w:p>
    <w:p w14:paraId="0CCC10B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12" w:lineRule="auto"/>
        <w:ind w:right="0" w:firstLine="709" w:left="0"/>
        <w:jc w:val="both"/>
        <w:rPr>
          <w:rFonts w:eastAsia="Times New Roman"/>
          <w:sz w:val="28"/>
          <w:szCs w:val="28"/>
          <w:highlight w:val="none"/>
          <w:lang w:eastAsia="ru-RU"/>
        </w:rPr>
      </w:pPr>
      <w:r>
        <w:rPr>
          <w:highlight w:val="none"/>
        </w:rPr>
        <w:t xml:space="preserve">1. </w:t>
      </w:r>
      <w:r>
        <w:rPr>
          <w:highlight w:val="white"/>
        </w:rPr>
        <w:t xml:space="preserve">поручение Премь</w:t>
      </w:r>
      <w:r>
        <w:rPr>
          <w:highlight w:val="white"/>
        </w:rPr>
        <w:t xml:space="preserve">ер-министра Республики Татарстан А.В. Песошина от 12.07.2026 № 40131-АП на письмо Государственного бюджетного учреждения «Центр экономических и социальных исследований Республики Татарстан  при Кабинете Министров Республики Татарстан» в связи с обращением </w:t>
      </w:r>
      <w:r>
        <w:rPr>
          <w:szCs w:val="28"/>
        </w:rPr>
        <w:t xml:space="preserve">Министерства образования и науки Республики Татарстан</w:t>
      </w:r>
      <w:r>
        <w:rPr>
          <w:highlight w:val="none"/>
        </w:rPr>
        <w:t xml:space="preserve"> </w:t>
      </w:r>
      <w:r>
        <w:rPr>
          <w:szCs w:val="28"/>
        </w:rPr>
        <w:t xml:space="preserve">о внесении изменений в</w:t>
      </w:r>
      <w:r>
        <w:rPr>
          <w:highlight w:val="none"/>
        </w:rPr>
        <w:t xml:space="preserve"> </w:t>
      </w:r>
      <w:r>
        <w:rPr>
          <w:lang w:eastAsia="ru-RU"/>
        </w:rPr>
        <w:t xml:space="preserve">ПКМ 1073</w:t>
      </w:r>
      <w:r>
        <w:rPr>
          <w:highlight w:val="none"/>
        </w:rPr>
        <w:t xml:space="preserve"> в части закрепления </w:t>
      </w:r>
      <w:r>
        <w:rPr>
          <w:sz w:val="28"/>
          <w:szCs w:val="28"/>
        </w:rPr>
        <w:t xml:space="preserve">за ГАОУ «Лицей № 1 им. М.К. Тагирова» г. Альметьевск</w:t>
      </w:r>
      <w:r>
        <w:rPr>
          <w:rFonts w:eastAsia="Times New Roman"/>
          <w:sz w:val="28"/>
          <w:szCs w:val="28"/>
          <w:lang w:eastAsia="ru-RU"/>
        </w:rPr>
        <w:t xml:space="preserve">а </w:t>
      </w:r>
      <w:r>
        <w:t xml:space="preserve">школьного автобуса,</w:t>
      </w:r>
      <w:r>
        <w:t xml:space="preserve"> переданного на основании </w:t>
      </w:r>
      <w:r>
        <w:rPr>
          <w:rFonts w:eastAsia="Times New Roman"/>
          <w:sz w:val="28"/>
          <w:szCs w:val="28"/>
          <w:lang w:eastAsia="ru-RU"/>
        </w:rPr>
        <w:t xml:space="preserve">распоряжения </w:t>
      </w:r>
      <w:r>
        <w:rPr>
          <w:szCs w:val="28"/>
        </w:rPr>
        <w:t xml:space="preserve">Министерства земельных и имущественных отношений Республики Татарстан</w:t>
      </w:r>
      <w:r>
        <w:rPr>
          <w:szCs w:val="28"/>
        </w:rPr>
        <w:t xml:space="preserve"> от</w:t>
      </w:r>
      <w:r>
        <w:rPr>
          <w:rFonts w:eastAsia="Times New Roman"/>
          <w:sz w:val="28"/>
          <w:szCs w:val="28"/>
          <w:lang w:eastAsia="ru-RU"/>
        </w:rPr>
        <w:t xml:space="preserve"> 16.07.2025 № 2399-р.</w:t>
      </w:r>
      <w:r>
        <w:rPr>
          <w:rFonts w:eastAsia="Times New Roman"/>
          <w:sz w:val="28"/>
          <w:szCs w:val="28"/>
          <w:highlight w:val="none"/>
          <w:lang w:eastAsia="ru-RU"/>
        </w:rPr>
        <w:t xml:space="preserve"> </w:t>
      </w:r>
      <w:r>
        <w:rPr>
          <w:rFonts w:eastAsia="Times New Roman"/>
          <w:sz w:val="28"/>
          <w:szCs w:val="28"/>
          <w:highlight w:val="none"/>
          <w:lang w:eastAsia="ru-RU"/>
        </w:rPr>
        <w:t xml:space="preserve">Согласно письму </w:t>
      </w:r>
      <w:r>
        <w:rPr>
          <w:szCs w:val="28"/>
          <w:highlight w:val="none"/>
        </w:rPr>
        <w:t xml:space="preserve">Министерства образования и науки Республики Татарста</w:t>
      </w:r>
      <w:r>
        <w:rPr>
          <w:szCs w:val="28"/>
          <w:highlight w:val="none"/>
        </w:rPr>
        <w:t xml:space="preserve">н от 20.08.2026 № 11022/26</w:t>
      </w:r>
      <w:r>
        <w:rPr>
          <w:rFonts w:eastAsia="Times New Roman"/>
          <w:sz w:val="28"/>
          <w:szCs w:val="28"/>
          <w:highlight w:val="none"/>
          <w:lang w:eastAsia="ru-RU"/>
        </w:rPr>
        <w:t xml:space="preserve"> </w:t>
      </w:r>
      <w:r>
        <w:rPr>
          <w:highlight w:val="none"/>
        </w:rPr>
        <w:t xml:space="preserve">содержание автобуса будет осуществляться за счет средств образовательной организации. </w:t>
      </w:r>
      <w:r>
        <w:rPr>
          <w:highlight w:val="none"/>
        </w:rPr>
        <w:t xml:space="preserve">В</w:t>
      </w:r>
      <w:r>
        <w:rPr>
          <w:highlight w:val="none"/>
        </w:rPr>
        <w:t xml:space="preserve">ыделение дополнительных финансовых средств из бюджета Республики Татарстан на данные </w:t>
      </w:r>
      <w:r>
        <w:t xml:space="preserve">цели не потребуется;</w:t>
      </w:r>
      <w:r>
        <w:rPr>
          <w:rFonts w:eastAsia="Times New Roman"/>
          <w:sz w:val="28"/>
          <w:szCs w:val="28"/>
          <w:highlight w:val="none"/>
          <w:lang w:eastAsia="ru-RU"/>
        </w:rPr>
      </w:r>
      <w:r>
        <w:rPr>
          <w:rFonts w:eastAsia="Times New Roman"/>
          <w:sz w:val="28"/>
          <w:szCs w:val="28"/>
          <w:highlight w:val="none"/>
          <w:lang w:eastAsia="ru-RU"/>
        </w:rPr>
      </w:r>
    </w:p>
    <w:p w14:paraId="39E81CF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12" w:lineRule="auto"/>
        <w:ind w:right="0" w:firstLine="709" w:left="0"/>
        <w:jc w:val="both"/>
        <w:rPr>
          <w:highlight w:val="none"/>
        </w:rPr>
      </w:pPr>
      <w:r>
        <w:rPr>
          <w:rFonts w:eastAsia="Times New Roman"/>
          <w:sz w:val="28"/>
          <w:szCs w:val="28"/>
          <w:highlight w:val="none"/>
          <w:lang w:eastAsia="ru-RU"/>
        </w:rPr>
        <w:t xml:space="preserve">2. </w:t>
      </w:r>
      <w:r>
        <w:rPr>
          <w:rFonts w:eastAsia="Times New Roman"/>
          <w:sz w:val="28"/>
          <w:szCs w:val="28"/>
          <w:highlight w:val="none"/>
          <w:lang w:eastAsia="ru-RU"/>
        </w:rPr>
        <w:t xml:space="preserve">поручение Раиса Республики Татарстан Р.Н. Минниханова </w:t>
      </w:r>
      <w:r>
        <w:rPr>
          <w:rFonts w:eastAsia="Times New Roman"/>
          <w:sz w:val="28"/>
          <w:szCs w:val="28"/>
          <w:highlight w:val="none"/>
          <w:lang w:eastAsia="ru-RU"/>
        </w:rPr>
        <w:t xml:space="preserve">от 18.05.2026</w:t>
      </w:r>
      <w:r>
        <w:rPr>
          <w:rFonts w:eastAsia="Times New Roman"/>
          <w:sz w:val="28"/>
          <w:szCs w:val="28"/>
          <w:highlight w:val="none"/>
          <w:lang w:eastAsia="ru-RU"/>
        </w:rPr>
        <w:t xml:space="preserve">    № 24049-МР в связи с обращением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Государственной инспекции Республики Татарстан по обеспечению государственного контроля за производством, оборотом и качеством этилового спирта, алкогольной продукции и защите прав потребителей</w:t>
      </w:r>
      <w:r>
        <w:t xml:space="preserve"> (далее – Инспекция) о внесении структурных изменений и передаче одной единицы водителя и</w:t>
      </w:r>
      <w:r>
        <w:t xml:space="preserve">з Набережночелнинского территориального органа в отдел государственных закупок и обеспечения деятельности аппарата Инспекции (увеличивается на одну единицу количество «дежурных» автомобилей). Данные изменения не потребуют дополнительных средств из бюджета </w:t>
      </w:r>
      <w:r>
        <w:rPr>
          <w:highlight w:val="none"/>
        </w:rPr>
        <w:t xml:space="preserve">Республики Татарстан;</w:t>
      </w:r>
      <w:r>
        <w:rPr>
          <w:highlight w:val="none"/>
        </w:rPr>
      </w:r>
      <w:r>
        <w:rPr>
          <w:highlight w:val="none"/>
        </w:rPr>
      </w:r>
    </w:p>
    <w:p w14:paraId="33BE630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12" w:lineRule="auto"/>
        <w:ind w:right="0" w:firstLine="709" w:left="0"/>
        <w:jc w:val="both"/>
        <w:rPr>
          <w:rFonts w:eastAsia="Times New Roman"/>
          <w:sz w:val="28"/>
          <w:szCs w:val="28"/>
          <w:highlight w:val="none"/>
          <w:lang w:eastAsia="ru-RU"/>
        </w:rPr>
      </w:pPr>
      <w:r>
        <w:rPr>
          <w:highlight w:val="none"/>
        </w:rPr>
        <w:t xml:space="preserve">3.  </w:t>
      </w:r>
      <w:r>
        <w:rPr>
          <w:rFonts w:eastAsia="Times New Roman"/>
          <w:sz w:val="28"/>
          <w:szCs w:val="28"/>
          <w:highlight w:val="none"/>
          <w:lang w:eastAsia="ru-RU"/>
        </w:rPr>
        <w:t xml:space="preserve">поручение </w:t>
      </w:r>
      <w:r>
        <w:rPr>
          <w:rFonts w:eastAsia="Times New Roman"/>
          <w:sz w:val="28"/>
          <w:szCs w:val="28"/>
          <w:highlight w:val="none"/>
          <w:lang w:eastAsia="ru-RU"/>
        </w:rPr>
        <w:t xml:space="preserve">Раиса Республики Татарстан Р.Н. Минниханова </w:t>
      </w:r>
      <w:r>
        <w:rPr>
          <w:rFonts w:eastAsia="Times New Roman"/>
          <w:sz w:val="28"/>
          <w:szCs w:val="28"/>
          <w:highlight w:val="none"/>
          <w:lang w:eastAsia="ru-RU"/>
        </w:rPr>
        <w:t xml:space="preserve">от 13.08.2026</w:t>
      </w:r>
      <w:r>
        <w:rPr>
          <w:rFonts w:eastAsia="Times New Roman"/>
          <w:sz w:val="28"/>
          <w:szCs w:val="28"/>
          <w:highlight w:val="none"/>
          <w:lang w:eastAsia="ru-RU"/>
        </w:rPr>
        <w:t xml:space="preserve">     № 39963-МР, данного по письму Министерства финансов Республики Татарстан, о </w:t>
      </w:r>
      <w:r>
        <w:t xml:space="preserve">выделении </w:t>
      </w:r>
      <w:r>
        <w:t xml:space="preserve">дополнительного финансирования</w:t>
      </w:r>
      <w:r>
        <w:t xml:space="preserve"> </w:t>
      </w:r>
      <w:r>
        <w:rPr>
          <w:highlight w:val="white"/>
        </w:rPr>
        <w:t xml:space="preserve">на содержание </w:t>
      </w:r>
      <w:r>
        <w:rPr>
          <w:highlight w:val="none"/>
        </w:rPr>
        <w:t xml:space="preserve">двух дополнительных единиц </w:t>
      </w:r>
      <w:r>
        <w:rPr>
          <w:szCs w:val="28"/>
        </w:rPr>
        <w:t xml:space="preserve">транспортных </w:t>
      </w:r>
      <w:r>
        <w:t xml:space="preserve">средств </w:t>
      </w:r>
      <w:r>
        <w:t xml:space="preserve">в связи с </w:t>
      </w:r>
      <w:r>
        <w:rPr>
          <w:highlight w:val="white"/>
        </w:rPr>
        <w:t xml:space="preserve">наделением Инспекции новыми полномочиями в области розничной торговли табачной и </w:t>
      </w:r>
      <w:r>
        <w:rPr>
          <w:highlight w:val="white"/>
        </w:rPr>
        <w:t xml:space="preserve">никотинсодержащей</w:t>
      </w:r>
      <w:r>
        <w:rPr>
          <w:highlight w:val="white"/>
        </w:rPr>
        <w:t xml:space="preserve"> </w:t>
      </w:r>
      <w:r>
        <w:rPr>
          <w:highlight w:val="white"/>
        </w:rPr>
        <w:t xml:space="preserve">продукцией. Дополнительные расходы </w:t>
      </w:r>
      <w:r>
        <w:rPr>
          <w:highlight w:val="none"/>
        </w:rPr>
        <w:t xml:space="preserve">из бюджета Республики Татарстан </w:t>
      </w:r>
      <w:r>
        <w:rPr>
          <w:highlight w:val="none"/>
        </w:rPr>
        <w:t xml:space="preserve">составят</w:t>
      </w:r>
      <w:r>
        <w:rPr>
          <w:highlight w:val="white"/>
        </w:rPr>
        <w:t xml:space="preserve">  </w:t>
      </w:r>
      <w:r>
        <w:t xml:space="preserve">1 109,2 тыс. рублей в год</w:t>
      </w:r>
      <w:r>
        <w:rPr>
          <w:rFonts w:eastAsia="Times New Roman"/>
          <w:sz w:val="28"/>
          <w:szCs w:val="28"/>
          <w:highlight w:val="none"/>
          <w:lang w:eastAsia="ru-RU"/>
        </w:rPr>
        <w:t xml:space="preserve">;</w:t>
      </w:r>
      <w:r>
        <w:rPr>
          <w:rFonts w:eastAsia="Times New Roman"/>
          <w:sz w:val="28"/>
          <w:szCs w:val="28"/>
          <w:highlight w:val="none"/>
          <w:lang w:eastAsia="ru-RU"/>
        </w:rPr>
      </w:r>
      <w:r>
        <w:rPr>
          <w:rFonts w:eastAsia="Times New Roman"/>
          <w:sz w:val="28"/>
          <w:szCs w:val="28"/>
          <w:highlight w:val="none"/>
          <w:lang w:eastAsia="ru-RU"/>
        </w:rPr>
      </w:r>
    </w:p>
    <w:p w14:paraId="43EC6AE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12" w:lineRule="auto"/>
        <w:ind w:right="0" w:firstLine="709" w:left="0"/>
        <w:jc w:val="both"/>
        <w:rPr>
          <w:rFonts w:eastAsia="Times New Roman"/>
          <w:sz w:val="28"/>
          <w:szCs w:val="28"/>
          <w:highlight w:val="none"/>
          <w:lang w:eastAsia="ru-RU"/>
        </w:rPr>
      </w:pPr>
      <w:r>
        <w:rPr>
          <w:rFonts w:eastAsia="Times New Roman"/>
          <w:sz w:val="28"/>
          <w:szCs w:val="28"/>
          <w:highlight w:val="none"/>
          <w:lang w:eastAsia="ru-RU"/>
        </w:rPr>
      </w:r>
      <w:r>
        <w:rPr>
          <w:rFonts w:eastAsia="Times New Roman"/>
          <w:sz w:val="28"/>
          <w:szCs w:val="28"/>
          <w:highlight w:val="none"/>
          <w:lang w:eastAsia="ru-RU"/>
        </w:rPr>
        <w:t xml:space="preserve">4. поручение Премьер-министра </w:t>
      </w:r>
      <w:r>
        <w:rPr>
          <w:rFonts w:eastAsia="Times New Roman"/>
          <w:sz w:val="28"/>
          <w:szCs w:val="28"/>
          <w:highlight w:val="none"/>
          <w:lang w:eastAsia="ru-RU"/>
        </w:rPr>
        <w:t xml:space="preserve">Республики Татарстан А.В. Песошина от 04.08.2026 № 46587-АП по вопросу, изложенному в письме </w:t>
      </w:r>
      <w:r>
        <w:rPr>
          <w:rFonts w:eastAsia="Times New Roman"/>
          <w:sz w:val="28"/>
          <w:szCs w:val="28"/>
          <w:highlight w:val="none"/>
          <w:lang w:eastAsia="ru-RU"/>
        </w:rPr>
        <w:t xml:space="preserve">Главного управления ветеринарии Кабинета Министров Республики Татарстан,</w:t>
      </w:r>
      <w:r>
        <w:rPr>
          <w:rFonts w:eastAsia="Times New Roman"/>
          <w:sz w:val="28"/>
          <w:szCs w:val="28"/>
          <w:highlight w:val="none"/>
          <w:lang w:eastAsia="ru-RU"/>
        </w:rPr>
        <w:t xml:space="preserve"> </w:t>
      </w:r>
      <w:r>
        <w:rPr>
          <w:rFonts w:eastAsia="Times New Roman"/>
          <w:sz w:val="28"/>
          <w:szCs w:val="28"/>
          <w:highlight w:val="none"/>
          <w:lang w:eastAsia="ru-RU"/>
        </w:rPr>
        <w:t xml:space="preserve">о внесении изменений в ПКМ 1073</w:t>
      </w:r>
      <w:r>
        <w:rPr>
          <w:rFonts w:eastAsia="Times New Roman"/>
          <w:sz w:val="28"/>
          <w:szCs w:val="28"/>
          <w:highlight w:val="none"/>
          <w:lang w:eastAsia="ru-RU"/>
        </w:rPr>
        <w:t xml:space="preserve"> </w:t>
      </w:r>
      <w:r>
        <w:rPr>
          <w:rFonts w:eastAsia="Times New Roman"/>
          <w:sz w:val="28"/>
          <w:szCs w:val="28"/>
          <w:highlight w:val="none"/>
          <w:lang w:eastAsia="ru-RU"/>
        </w:rPr>
        <w:t xml:space="preserve">в части увеличения количества специализированного транспорта. На приобретение всех транспортных средств </w:t>
      </w:r>
      <w:r>
        <w:rPr>
          <w:rFonts w:eastAsia="Times New Roman"/>
          <w:sz w:val="28"/>
          <w:szCs w:val="28"/>
          <w:highlight w:val="none"/>
          <w:lang w:eastAsia="ru-RU"/>
        </w:rPr>
        <w:t xml:space="preserve">распоряжениями </w:t>
      </w:r>
      <w:r>
        <w:rPr>
          <w:rFonts w:eastAsia="Times New Roman"/>
          <w:sz w:val="28"/>
          <w:szCs w:val="28"/>
          <w:highlight w:val="none"/>
          <w:lang w:eastAsia="ru-RU"/>
        </w:rPr>
        <w:t xml:space="preserve">Кабинета Министров Республики Татарстан</w:t>
      </w:r>
      <w:r>
        <w:rPr>
          <w:rFonts w:eastAsia="Times New Roman"/>
          <w:sz w:val="28"/>
          <w:szCs w:val="28"/>
          <w:highlight w:val="none"/>
          <w:lang w:eastAsia="ru-RU"/>
        </w:rPr>
        <w:t xml:space="preserve"> от 29.04.2025 № 896-р, от 09.02.2026 № 196-р, от 09.04.2026 № 658-р выделены денежные средства, заключены государственные контракты на их поставку</w:t>
      </w:r>
      <w:r>
        <w:rPr>
          <w:rFonts w:eastAsia="Times New Roman"/>
          <w:sz w:val="28"/>
          <w:szCs w:val="28"/>
          <w:highlight w:val="none"/>
          <w:lang w:eastAsia="ru-RU"/>
        </w:rPr>
        <w:t xml:space="preserve">. </w:t>
      </w:r>
      <w:r>
        <w:rPr>
          <w:rFonts w:eastAsia="Times New Roman"/>
          <w:sz w:val="28"/>
          <w:szCs w:val="28"/>
          <w:highlight w:val="none"/>
          <w:lang w:eastAsia="ru-RU"/>
        </w:rPr>
        <w:t xml:space="preserve">Согласно письму </w:t>
      </w:r>
      <w:r>
        <w:rPr>
          <w:rFonts w:eastAsia="Times New Roman"/>
          <w:sz w:val="28"/>
          <w:szCs w:val="28"/>
          <w:highlight w:val="none"/>
          <w:lang w:eastAsia="ru-RU"/>
        </w:rPr>
        <w:t xml:space="preserve">Главного управления ветеринарии Кабинета Министров Республики Татарстан</w:t>
      </w:r>
      <w:r>
        <w:rPr>
          <w:rFonts w:eastAsia="Times New Roman"/>
          <w:sz w:val="28"/>
          <w:szCs w:val="28"/>
          <w:highlight w:val="none"/>
          <w:lang w:val="en-US"/>
        </w:rPr>
        <w:t xml:space="preserve"> </w:t>
      </w:r>
      <w:r>
        <w:rPr>
          <w:rFonts w:eastAsia="Times New Roman"/>
          <w:sz w:val="28"/>
          <w:szCs w:val="28"/>
          <w:highlight w:val="none"/>
          <w:lang w:val="ru-RU"/>
        </w:rPr>
        <w:t xml:space="preserve"> </w:t>
      </w:r>
      <w:r>
        <w:rPr>
          <w:rFonts w:eastAsia="Times New Roman"/>
          <w:sz w:val="28"/>
          <w:szCs w:val="28"/>
          <w:highlight w:val="none"/>
          <w:lang w:val="ru-RU"/>
        </w:rPr>
        <w:t xml:space="preserve">от 07.08.2026</w:t>
      </w:r>
      <w:r>
        <w:rPr>
          <w:rFonts w:eastAsia="Times New Roman"/>
          <w:sz w:val="28"/>
          <w:szCs w:val="28"/>
          <w:highlight w:val="none"/>
          <w:lang w:val="ru-RU"/>
        </w:rPr>
        <w:t xml:space="preserve"> № 03-73/4152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источником средств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содержание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новых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транспортных средств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являются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внебюджетные средства подведомственных учреждений. </w:t>
      </w:r>
      <w:r>
        <w:t xml:space="preserve">Привлечение дополнительного финансирования из бюджета Республики Татарстан</w:t>
      </w:r>
      <w:r>
        <w:rPr>
          <w:rFonts w:eastAsia="Times New Roman"/>
          <w:sz w:val="28"/>
          <w:szCs w:val="28"/>
          <w:highlight w:val="none"/>
          <w:lang w:eastAsia="ru-RU"/>
        </w:rPr>
        <w:t xml:space="preserve"> не потребуется.</w:t>
      </w:r>
      <w:r>
        <w:t xml:space="preserve"> </w:t>
      </w:r>
      <w:r>
        <w:rPr>
          <w:rFonts w:eastAsia="Times New Roman"/>
          <w:sz w:val="28"/>
          <w:szCs w:val="28"/>
          <w:highlight w:val="none"/>
          <w:lang w:eastAsia="ru-RU"/>
        </w:rPr>
      </w:r>
      <w:r>
        <w:rPr>
          <w:rFonts w:eastAsia="Times New Roman"/>
          <w:sz w:val="28"/>
          <w:szCs w:val="28"/>
          <w:highlight w:val="none"/>
          <w:lang w:eastAsia="ru-RU"/>
        </w:rPr>
      </w:r>
    </w:p>
    <w:p w14:paraId="50DCE11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before="0" w:line="312" w:lineRule="auto"/>
        <w:ind w:right="0" w:firstLine="540" w:lef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Отсутствует необходимость в проведении оценки регулирующего воздействия проекта постановления Кабинета Министров Республики Татарстан.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r>
    </w:p>
    <w:p w14:paraId="7B3D9B8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before="0" w:line="312" w:lineRule="auto"/>
        <w:ind w:right="0" w:firstLine="540" w:lef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итогам  независимой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антикоррупционной экспертизы проекта постановления Кабинета Министров Республики Татарстан заключе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ний не поступало.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r>
    </w:p>
    <w:p w14:paraId="36A2A2A9">
      <w:pPr>
        <w:pBdr/>
        <w:spacing w:line="276" w:lineRule="auto"/>
        <w:ind w:firstLine="0"/>
        <w:jc w:val="both"/>
        <w:rPr>
          <w:b w:val="0"/>
          <w:bCs w:val="0"/>
        </w:rPr>
      </w:pPr>
      <w:r>
        <w:rPr>
          <w:b w:val="0"/>
          <w:bCs w:val="0"/>
          <w:highlight w:val="none"/>
          <w:lang w:eastAsia="ru-RU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sectPr>
      <w:footnotePr/>
      <w:endnotePr/>
      <w:type w:val="nextPage"/>
      <w:pgSz w:h="16838" w:orient="portrait" w:w="11906"/>
      <w:pgMar w:top="1134" w:right="567" w:bottom="680" w:left="1134" w:header="510" w:footer="0" w:gutter="0"/>
      <w:pgNumType w:start="1"/>
      <w:cols w:num="1" w:sep="0" w:space="1701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Devanagari">
    <w:panose1 w:val="020B0502040504020204"/>
  </w:font>
  <w:font w:name="Lucida Sans">
    <w:panose1 w:val="020B0602040504020204"/>
  </w:font>
  <w:font w:name="Segoe UI">
    <w:panose1 w:val="020B050204050402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Microsoft YaHei">
    <w:panose1 w:val="020B050302020302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1759A953">
    <w:pPr>
      <w:pStyle w:val="944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E0DED7B">
    <w:pPr>
      <w:pStyle w:val="943"/>
      <w:pBdr/>
      <w:spacing/>
      <w:ind/>
      <w:jc w:val="center"/>
      <w:rPr/>
    </w:pPr>
    <w:fldSimple w:instr="PAGE \* MERGEFORMAT">
      <w:r>
        <w:t xml:space="preserve">1</w:t>
      </w:r>
    </w:fldSimple>
    <w:r/>
    <w:r/>
  </w:p>
  <w:p w14:paraId="670D2F00">
    <w:pPr>
      <w:pStyle w:val="943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194C9A39">
    <w:pPr>
      <w:pStyle w:val="943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Calibri" w:cs="Times New Roman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43">
    <w:name w:val="toc 1"/>
    <w:basedOn w:val="920"/>
    <w:next w:val="920"/>
    <w:uiPriority w:val="39"/>
    <w:unhideWhenUsed/>
    <w:pPr>
      <w:pBdr/>
      <w:spacing w:after="100"/>
      <w:ind/>
    </w:pPr>
  </w:style>
  <w:style w:type="paragraph" w:styleId="744">
    <w:name w:val="toc 2"/>
    <w:basedOn w:val="920"/>
    <w:next w:val="920"/>
    <w:uiPriority w:val="39"/>
    <w:unhideWhenUsed/>
    <w:pPr>
      <w:pBdr/>
      <w:spacing w:after="100"/>
      <w:ind w:left="220"/>
    </w:pPr>
  </w:style>
  <w:style w:type="paragraph" w:styleId="745">
    <w:name w:val="toc 3"/>
    <w:basedOn w:val="920"/>
    <w:next w:val="920"/>
    <w:uiPriority w:val="39"/>
    <w:unhideWhenUsed/>
    <w:pPr>
      <w:pBdr/>
      <w:spacing w:after="100"/>
      <w:ind w:left="440"/>
    </w:pPr>
  </w:style>
  <w:style w:type="paragraph" w:styleId="746">
    <w:name w:val="toc 4"/>
    <w:basedOn w:val="920"/>
    <w:next w:val="920"/>
    <w:uiPriority w:val="39"/>
    <w:unhideWhenUsed/>
    <w:pPr>
      <w:pBdr/>
      <w:spacing w:after="100"/>
      <w:ind w:left="660"/>
    </w:pPr>
  </w:style>
  <w:style w:type="paragraph" w:styleId="747">
    <w:name w:val="toc 5"/>
    <w:basedOn w:val="920"/>
    <w:next w:val="920"/>
    <w:uiPriority w:val="39"/>
    <w:unhideWhenUsed/>
    <w:pPr>
      <w:pBdr/>
      <w:spacing w:after="100"/>
      <w:ind w:left="880"/>
    </w:pPr>
  </w:style>
  <w:style w:type="paragraph" w:styleId="748">
    <w:name w:val="toc 6"/>
    <w:basedOn w:val="920"/>
    <w:next w:val="920"/>
    <w:uiPriority w:val="39"/>
    <w:unhideWhenUsed/>
    <w:pPr>
      <w:pBdr/>
      <w:spacing w:after="100"/>
      <w:ind w:left="1100"/>
    </w:pPr>
  </w:style>
  <w:style w:type="paragraph" w:styleId="749">
    <w:name w:val="toc 7"/>
    <w:basedOn w:val="920"/>
    <w:next w:val="920"/>
    <w:uiPriority w:val="39"/>
    <w:unhideWhenUsed/>
    <w:pPr>
      <w:pBdr/>
      <w:spacing w:after="100"/>
      <w:ind w:left="1320"/>
    </w:pPr>
  </w:style>
  <w:style w:type="paragraph" w:styleId="750">
    <w:name w:val="toc 8"/>
    <w:basedOn w:val="920"/>
    <w:next w:val="920"/>
    <w:uiPriority w:val="39"/>
    <w:unhideWhenUsed/>
    <w:pPr>
      <w:pBdr/>
      <w:spacing w:after="100"/>
      <w:ind w:left="1540"/>
    </w:pPr>
  </w:style>
  <w:style w:type="paragraph" w:styleId="751">
    <w:name w:val="toc 9"/>
    <w:basedOn w:val="920"/>
    <w:next w:val="920"/>
    <w:uiPriority w:val="39"/>
    <w:unhideWhenUsed/>
    <w:pPr>
      <w:pBdr/>
      <w:spacing w:after="100"/>
      <w:ind w:left="1760"/>
    </w:pPr>
  </w:style>
  <w:style w:type="table" w:styleId="752">
    <w:name w:val="Table Grid Light"/>
    <w:basedOn w:val="97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Plain Table 1"/>
    <w:basedOn w:val="97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Plain Table 2"/>
    <w:basedOn w:val="97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Plain Table 3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Plain Table 4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Plain Table 5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1 Light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1 Light - Accent 1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1 Light - Accent 2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1 Light - Accent 3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1 Light - Accent 4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1 Light - Accent 5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1 Light - Accent 6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2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2 - Accent 1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2 - Accent 2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2 - Accent 3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2 - Accent 4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2 - Accent 5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2 - Accent 6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3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3 - Accent 1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3 - Accent 2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3 - Accent 3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3 - Accent 4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3 - Accent 5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3 - Accent 6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4"/>
    <w:basedOn w:val="97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4 - Accent 1"/>
    <w:basedOn w:val="97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4 - Accent 2"/>
    <w:basedOn w:val="97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4 - Accent 3"/>
    <w:basedOn w:val="97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4 - Accent 4"/>
    <w:basedOn w:val="97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4 - Accent 5"/>
    <w:basedOn w:val="97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4 - Accent 6"/>
    <w:basedOn w:val="97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5 Dark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5 Dark- Accent 1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5 Dark - Accent 2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5 Dark - Accent 3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5 Dark- Accent 4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5 Dark - Accent 5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5 Dark - Accent 6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6 Colorful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6 Colorful - Accent 1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6 Colorful - Accent 2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6 Colorful - Accent 3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6 Colorful - Accent 4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Grid Table 6 Colorful - Accent 5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6 Colorful - Accent 6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7 Colorful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7 Colorful - Accent 1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760ab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7 Colorful - Accent 2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7 Colorful - Accent 3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7 Colorful - Accent 4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7 Colorful - Accent 5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7 Colorful - Accent 6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1 Light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1 Light - Accent 1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1 Light - Accent 2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1 Light - Accent 3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1 Light - Accent 4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1 Light - Accent 5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1 Light - Accent 6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2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2 - Accent 1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2 - Accent 2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2 - Accent 3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2 - Accent 4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2 - Accent 5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2 - Accent 6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3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3 - Accent 1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3 - Accent 2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3 - Accent 3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3 - Accent 4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3 - Accent 5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3 - Accent 6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4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4 - Accent 1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4 - Accent 2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4 - Accent 3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4 - Accent 4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4 - Accent 5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4 - Accent 6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5 Dark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5 Dark - Accent 1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5 Dark - Accent 2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5 Dark - Accent 3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5 Dark - Accent 4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5 Dark - Accent 5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5 Dark - Accent 6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6 Colorful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6 Colorful - Accent 1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6 Colorful - Accent 2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6 Colorful - Accent 3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6 Colorful - Accent 4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st Table 6 Colorful - Accent 5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6 Colorful - Accent 6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7 Colorful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7 Colorful - Accent 1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7 Colorful - Accent 2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7 Colorful - Accent 3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7 Colorful - Accent 4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7 Colorful - Accent 5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7 Colorful - Accent 6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ned - Accent"/>
    <w:basedOn w:val="9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ned - Accent 1"/>
    <w:basedOn w:val="9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ned - Accent 2"/>
    <w:basedOn w:val="9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ned - Accent 3"/>
    <w:basedOn w:val="9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ned - Accent 4"/>
    <w:basedOn w:val="9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ned - Accent 5"/>
    <w:basedOn w:val="9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ned - Accent 6"/>
    <w:basedOn w:val="9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Bordered &amp; Lined - Accent"/>
    <w:basedOn w:val="9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Bordered &amp; Lined - Accent 1"/>
    <w:basedOn w:val="9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Bordered &amp; Lined - Accent 2"/>
    <w:basedOn w:val="9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Bordered &amp; Lined - Accent 3"/>
    <w:basedOn w:val="9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Bordered &amp; Lined - Accent 4"/>
    <w:basedOn w:val="9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Bordered &amp; Lined - Accent 5"/>
    <w:basedOn w:val="9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Bordered &amp; Lined - Accent 6"/>
    <w:basedOn w:val="9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Bordered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Bordered - Accent 1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Bordered - Accent 2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Bordered - Accent 3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Bordered - Accent 4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Bordered - Accent 5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Bordered - Accent 6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77">
    <w:name w:val="Heading 1"/>
    <w:basedOn w:val="920"/>
    <w:next w:val="920"/>
    <w:link w:val="886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78">
    <w:name w:val="Heading 2"/>
    <w:basedOn w:val="920"/>
    <w:next w:val="920"/>
    <w:link w:val="887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79">
    <w:name w:val="Heading 3"/>
    <w:basedOn w:val="920"/>
    <w:next w:val="920"/>
    <w:link w:val="888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80">
    <w:name w:val="Heading 4"/>
    <w:basedOn w:val="920"/>
    <w:next w:val="920"/>
    <w:link w:val="889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81">
    <w:name w:val="Heading 5"/>
    <w:basedOn w:val="920"/>
    <w:next w:val="920"/>
    <w:link w:val="890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82">
    <w:name w:val="Heading 6"/>
    <w:basedOn w:val="920"/>
    <w:next w:val="920"/>
    <w:link w:val="891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83">
    <w:name w:val="Heading 7"/>
    <w:basedOn w:val="920"/>
    <w:next w:val="920"/>
    <w:link w:val="892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84">
    <w:name w:val="Heading 8"/>
    <w:basedOn w:val="920"/>
    <w:next w:val="920"/>
    <w:link w:val="893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85">
    <w:name w:val="Heading 9"/>
    <w:basedOn w:val="920"/>
    <w:next w:val="920"/>
    <w:link w:val="894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86">
    <w:name w:val="Heading 1 Char"/>
    <w:basedOn w:val="921"/>
    <w:link w:val="87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87">
    <w:name w:val="Heading 2 Char"/>
    <w:basedOn w:val="921"/>
    <w:link w:val="87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88">
    <w:name w:val="Heading 3 Char"/>
    <w:basedOn w:val="921"/>
    <w:link w:val="87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89">
    <w:name w:val="Heading 4 Char"/>
    <w:basedOn w:val="921"/>
    <w:link w:val="88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90">
    <w:name w:val="Heading 5 Char"/>
    <w:basedOn w:val="921"/>
    <w:link w:val="88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91">
    <w:name w:val="Heading 6 Char"/>
    <w:basedOn w:val="921"/>
    <w:link w:val="88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92">
    <w:name w:val="Heading 7 Char"/>
    <w:basedOn w:val="921"/>
    <w:link w:val="88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93">
    <w:name w:val="Heading 8 Char"/>
    <w:basedOn w:val="921"/>
    <w:link w:val="88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94">
    <w:name w:val="Heading 9 Char"/>
    <w:basedOn w:val="921"/>
    <w:link w:val="88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95">
    <w:name w:val="Title Char"/>
    <w:basedOn w:val="921"/>
    <w:link w:val="937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96">
    <w:name w:val="Subtitle"/>
    <w:basedOn w:val="920"/>
    <w:next w:val="920"/>
    <w:link w:val="897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97">
    <w:name w:val="Subtitle Char"/>
    <w:basedOn w:val="921"/>
    <w:link w:val="896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98">
    <w:name w:val="Quote"/>
    <w:basedOn w:val="920"/>
    <w:next w:val="920"/>
    <w:link w:val="899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99">
    <w:name w:val="Quote Char"/>
    <w:basedOn w:val="921"/>
    <w:link w:val="898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00">
    <w:name w:val="Intense Emphasis"/>
    <w:basedOn w:val="921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01">
    <w:name w:val="Intense Quote"/>
    <w:basedOn w:val="920"/>
    <w:next w:val="920"/>
    <w:link w:val="902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02">
    <w:name w:val="Intense Quote Char"/>
    <w:basedOn w:val="921"/>
    <w:link w:val="901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03">
    <w:name w:val="Intense Reference"/>
    <w:basedOn w:val="921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04">
    <w:name w:val="No Spacing"/>
    <w:basedOn w:val="920"/>
    <w:uiPriority w:val="1"/>
    <w:qFormat/>
    <w:pPr>
      <w:pBdr/>
      <w:spacing w:after="0" w:line="240" w:lineRule="auto"/>
      <w:ind/>
    </w:pPr>
  </w:style>
  <w:style w:type="character" w:styleId="905">
    <w:name w:val="Subtle Emphasis"/>
    <w:basedOn w:val="921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06">
    <w:name w:val="Emphasis"/>
    <w:basedOn w:val="921"/>
    <w:uiPriority w:val="20"/>
    <w:qFormat/>
    <w:pPr>
      <w:pBdr/>
      <w:spacing/>
      <w:ind/>
    </w:pPr>
    <w:rPr>
      <w:i/>
      <w:iCs/>
    </w:rPr>
  </w:style>
  <w:style w:type="character" w:styleId="907">
    <w:name w:val="Strong"/>
    <w:basedOn w:val="921"/>
    <w:uiPriority w:val="22"/>
    <w:qFormat/>
    <w:pPr>
      <w:pBdr/>
      <w:spacing/>
      <w:ind/>
    </w:pPr>
    <w:rPr>
      <w:b/>
      <w:bCs/>
    </w:rPr>
  </w:style>
  <w:style w:type="character" w:styleId="908">
    <w:name w:val="Subtle Reference"/>
    <w:basedOn w:val="921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09">
    <w:name w:val="Book Title"/>
    <w:basedOn w:val="921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10">
    <w:name w:val="Header Char"/>
    <w:basedOn w:val="921"/>
    <w:link w:val="943"/>
    <w:uiPriority w:val="99"/>
    <w:pPr>
      <w:pBdr/>
      <w:spacing/>
      <w:ind/>
    </w:pPr>
  </w:style>
  <w:style w:type="character" w:styleId="911">
    <w:name w:val="Footer Char"/>
    <w:basedOn w:val="921"/>
    <w:link w:val="944"/>
    <w:uiPriority w:val="99"/>
    <w:pPr>
      <w:pBdr/>
      <w:spacing/>
      <w:ind/>
    </w:pPr>
  </w:style>
  <w:style w:type="paragraph" w:styleId="912">
    <w:name w:val="footnote text"/>
    <w:basedOn w:val="920"/>
    <w:link w:val="91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13">
    <w:name w:val="Footnote Text Char"/>
    <w:basedOn w:val="921"/>
    <w:link w:val="912"/>
    <w:uiPriority w:val="99"/>
    <w:semiHidden/>
    <w:pPr>
      <w:pBdr/>
      <w:spacing/>
      <w:ind/>
    </w:pPr>
    <w:rPr>
      <w:sz w:val="20"/>
      <w:szCs w:val="20"/>
    </w:rPr>
  </w:style>
  <w:style w:type="character" w:styleId="914">
    <w:name w:val="footnote reference"/>
    <w:basedOn w:val="921"/>
    <w:uiPriority w:val="99"/>
    <w:semiHidden/>
    <w:unhideWhenUsed/>
    <w:pPr>
      <w:pBdr/>
      <w:spacing/>
      <w:ind/>
    </w:pPr>
    <w:rPr>
      <w:vertAlign w:val="superscript"/>
    </w:rPr>
  </w:style>
  <w:style w:type="paragraph" w:styleId="915">
    <w:name w:val="endnote text"/>
    <w:basedOn w:val="920"/>
    <w:link w:val="91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16">
    <w:name w:val="Endnote Text Char"/>
    <w:basedOn w:val="921"/>
    <w:link w:val="915"/>
    <w:uiPriority w:val="99"/>
    <w:semiHidden/>
    <w:pPr>
      <w:pBdr/>
      <w:spacing/>
      <w:ind/>
    </w:pPr>
    <w:rPr>
      <w:sz w:val="20"/>
      <w:szCs w:val="20"/>
    </w:rPr>
  </w:style>
  <w:style w:type="character" w:styleId="917">
    <w:name w:val="endnote reference"/>
    <w:basedOn w:val="921"/>
    <w:uiPriority w:val="99"/>
    <w:semiHidden/>
    <w:unhideWhenUsed/>
    <w:pPr>
      <w:pBdr/>
      <w:spacing/>
      <w:ind/>
    </w:pPr>
    <w:rPr>
      <w:vertAlign w:val="superscript"/>
    </w:rPr>
  </w:style>
  <w:style w:type="paragraph" w:styleId="918">
    <w:name w:val="TOC Heading"/>
    <w:uiPriority w:val="39"/>
    <w:unhideWhenUsed/>
    <w:pPr>
      <w:pBdr/>
      <w:spacing/>
      <w:ind/>
    </w:pPr>
  </w:style>
  <w:style w:type="paragraph" w:styleId="919">
    <w:name w:val="table of figures"/>
    <w:basedOn w:val="920"/>
    <w:next w:val="920"/>
    <w:uiPriority w:val="99"/>
    <w:unhideWhenUsed/>
    <w:pPr>
      <w:pBdr/>
      <w:spacing w:after="0" w:afterAutospacing="0"/>
      <w:ind/>
    </w:pPr>
  </w:style>
  <w:style w:type="paragraph" w:styleId="920" w:default="1">
    <w:name w:val="Normal"/>
    <w:qFormat/>
    <w:pPr>
      <w:widowControl w:val="true"/>
      <w:pBdr/>
      <w:bidi w:val="false"/>
      <w:spacing w:after="0" w:before="0" w:line="276" w:lineRule="auto"/>
      <w:ind/>
      <w:jc w:val="both"/>
    </w:pPr>
    <w:rPr>
      <w:rFonts w:ascii="Times New Roman" w:hAnsi="Times New Roman" w:eastAsia="Calibri" w:cs="Times New Roman"/>
      <w:color w:val="auto"/>
      <w:sz w:val="28"/>
      <w:szCs w:val="22"/>
      <w:lang w:val="ru-RU" w:eastAsia="en-US" w:bidi="ar-SA"/>
    </w:rPr>
  </w:style>
  <w:style w:type="character" w:styleId="921" w:default="1">
    <w:name w:val="Default Paragraph Font"/>
    <w:uiPriority w:val="1"/>
    <w:semiHidden/>
    <w:unhideWhenUsed/>
    <w:qFormat/>
    <w:pPr>
      <w:pBdr/>
      <w:spacing/>
      <w:ind/>
    </w:pPr>
  </w:style>
  <w:style w:type="character" w:styleId="922" w:customStyle="1">
    <w:name w:val="Заголовок Знак"/>
    <w:qFormat/>
    <w:pPr>
      <w:pBdr/>
      <w:spacing/>
      <w:ind/>
    </w:pPr>
    <w:rPr>
      <w:rFonts w:eastAsia="Times New Roman"/>
      <w:b/>
      <w:sz w:val="32"/>
      <w:szCs w:val="20"/>
      <w:lang w:eastAsia="ru-RU"/>
    </w:rPr>
  </w:style>
  <w:style w:type="character" w:styleId="923" w:customStyle="1">
    <w:name w:val="Верхний колонтитул Знак"/>
    <w:basedOn w:val="921"/>
    <w:uiPriority w:val="99"/>
    <w:qFormat/>
    <w:pPr>
      <w:pBdr/>
      <w:spacing/>
      <w:ind/>
    </w:pPr>
  </w:style>
  <w:style w:type="character" w:styleId="924" w:customStyle="1">
    <w:name w:val="Нижний колонтитул Знак"/>
    <w:basedOn w:val="921"/>
    <w:uiPriority w:val="99"/>
    <w:qFormat/>
    <w:pPr>
      <w:pBdr/>
      <w:spacing/>
      <w:ind/>
    </w:pPr>
  </w:style>
  <w:style w:type="character" w:styleId="925" w:customStyle="1">
    <w:name w:val="Текст выноски Знак"/>
    <w:link w:val="945"/>
    <w:uiPriority w:val="99"/>
    <w:semiHidden/>
    <w:qFormat/>
    <w:pPr>
      <w:pBdr/>
      <w:spacing/>
      <w:ind/>
    </w:pPr>
    <w:rPr>
      <w:rFonts w:ascii="Segoe UI" w:hAnsi="Segoe UI" w:cs="Segoe UI"/>
      <w:sz w:val="18"/>
      <w:szCs w:val="18"/>
    </w:rPr>
  </w:style>
  <w:style w:type="character" w:styleId="926">
    <w:name w:val="Hyperlink"/>
    <w:uiPriority w:val="99"/>
    <w:semiHidden/>
    <w:unhideWhenUsed/>
    <w:pPr>
      <w:pBdr/>
      <w:spacing/>
      <w:ind/>
    </w:pPr>
    <w:rPr>
      <w:color w:val="0563c1"/>
      <w:u w:val="single"/>
    </w:rPr>
  </w:style>
  <w:style w:type="character" w:styleId="927">
    <w:name w:val="FollowedHyperlink"/>
    <w:uiPriority w:val="99"/>
    <w:semiHidden/>
    <w:unhideWhenUsed/>
    <w:pPr>
      <w:pBdr/>
      <w:spacing/>
      <w:ind/>
    </w:pPr>
    <w:rPr>
      <w:color w:val="954f72"/>
      <w:u w:val="single"/>
    </w:rPr>
  </w:style>
  <w:style w:type="character" w:styleId="928">
    <w:name w:val="annotation reference"/>
    <w:uiPriority w:val="99"/>
    <w:semiHidden/>
    <w:unhideWhenUsed/>
    <w:qFormat/>
    <w:pPr>
      <w:pBdr/>
      <w:spacing/>
      <w:ind/>
    </w:pPr>
    <w:rPr>
      <w:sz w:val="16"/>
      <w:szCs w:val="16"/>
    </w:rPr>
  </w:style>
  <w:style w:type="character" w:styleId="929" w:customStyle="1">
    <w:name w:val="Текст примечания Знак"/>
    <w:link w:val="965"/>
    <w:uiPriority w:val="99"/>
    <w:semiHidden/>
    <w:qFormat/>
    <w:pPr>
      <w:pBdr/>
      <w:spacing/>
      <w:ind/>
    </w:pPr>
    <w:rPr>
      <w:sz w:val="20"/>
      <w:szCs w:val="20"/>
    </w:rPr>
  </w:style>
  <w:style w:type="character" w:styleId="930" w:customStyle="1">
    <w:name w:val="Тема примечания Знак"/>
    <w:link w:val="966"/>
    <w:uiPriority w:val="99"/>
    <w:semiHidden/>
    <w:qFormat/>
    <w:pPr>
      <w:pBdr/>
      <w:spacing/>
      <w:ind/>
    </w:pPr>
    <w:rPr>
      <w:b/>
      <w:bCs/>
      <w:sz w:val="20"/>
      <w:szCs w:val="20"/>
    </w:rPr>
  </w:style>
  <w:style w:type="character" w:styleId="931">
    <w:name w:val="Placeholder Text"/>
    <w:uiPriority w:val="99"/>
    <w:semiHidden/>
    <w:qFormat/>
    <w:pPr>
      <w:pBdr/>
      <w:spacing/>
      <w:ind/>
    </w:pPr>
    <w:rPr>
      <w:color w:val="808080"/>
    </w:rPr>
  </w:style>
  <w:style w:type="paragraph" w:styleId="932">
    <w:name w:val="Заголовок"/>
    <w:basedOn w:val="920"/>
    <w:next w:val="933"/>
    <w:qFormat/>
    <w:pPr>
      <w:keepNext w:val="true"/>
      <w:pBdr/>
      <w:spacing w:after="120" w:before="240"/>
      <w:ind/>
    </w:pPr>
    <w:rPr>
      <w:rFonts w:ascii="PT Astra Serif" w:hAnsi="PT Astra Serif" w:eastAsia="Microsoft YaHei" w:cs="Lucida Sans"/>
      <w:sz w:val="28"/>
      <w:szCs w:val="28"/>
    </w:rPr>
  </w:style>
  <w:style w:type="paragraph" w:styleId="933">
    <w:name w:val="Body Text"/>
    <w:basedOn w:val="920"/>
    <w:pPr>
      <w:pBdr/>
      <w:spacing w:after="140" w:before="0"/>
      <w:ind/>
    </w:pPr>
  </w:style>
  <w:style w:type="paragraph" w:styleId="934">
    <w:name w:val="List"/>
    <w:basedOn w:val="933"/>
    <w:pPr>
      <w:pBdr/>
      <w:spacing/>
      <w:ind/>
    </w:pPr>
    <w:rPr>
      <w:rFonts w:ascii="PT Astra Serif" w:hAnsi="PT Astra Serif" w:cs="Noto Sans Devanagari"/>
    </w:rPr>
  </w:style>
  <w:style w:type="paragraph" w:styleId="935">
    <w:name w:val="Caption"/>
    <w:basedOn w:val="920"/>
    <w:qFormat/>
    <w:pPr>
      <w:suppressLineNumbers w:val="true"/>
      <w:pBdr/>
      <w:spacing w:after="120" w:before="120"/>
      <w:ind/>
    </w:pPr>
    <w:rPr>
      <w:rFonts w:ascii="PT Astra Serif" w:hAnsi="PT Astra Serif" w:cs="Lucida Sans"/>
      <w:i/>
      <w:iCs/>
      <w:sz w:val="24"/>
      <w:szCs w:val="24"/>
    </w:rPr>
  </w:style>
  <w:style w:type="paragraph" w:styleId="936">
    <w:name w:val="Указатель"/>
    <w:basedOn w:val="920"/>
    <w:qFormat/>
    <w:pPr>
      <w:suppressLineNumbers w:val="true"/>
      <w:pBdr/>
      <w:spacing/>
      <w:ind/>
    </w:pPr>
    <w:rPr>
      <w:rFonts w:ascii="PT Astra Serif" w:hAnsi="PT Astra Serif" w:cs="Lucida Sans"/>
    </w:rPr>
  </w:style>
  <w:style w:type="paragraph" w:styleId="937">
    <w:name w:val="Title"/>
    <w:basedOn w:val="920"/>
    <w:next w:val="933"/>
    <w:link w:val="922"/>
    <w:qFormat/>
    <w:pPr>
      <w:widowControl w:val="false"/>
      <w:pBdr/>
      <w:spacing w:line="320" w:lineRule="exact"/>
      <w:ind w:right="220" w:firstLine="0"/>
      <w:jc w:val="center"/>
    </w:pPr>
    <w:rPr>
      <w:rFonts w:eastAsia="Times New Roman"/>
      <w:b/>
      <w:sz w:val="32"/>
      <w:szCs w:val="20"/>
      <w:lang w:eastAsia="ru-RU"/>
    </w:rPr>
  </w:style>
  <w:style w:type="paragraph" w:styleId="938">
    <w:name w:val="Caption"/>
    <w:basedOn w:val="920"/>
    <w:qFormat/>
    <w:pPr>
      <w:suppressLineNumbers w:val="true"/>
      <w:pBdr/>
      <w:spacing w:after="120" w:before="120"/>
      <w:ind/>
    </w:pPr>
    <w:rPr>
      <w:rFonts w:ascii="PT Astra Serif" w:hAnsi="PT Astra Serif" w:cs="Noto Sans Devanagari"/>
      <w:i/>
      <w:iCs/>
      <w:sz w:val="24"/>
      <w:szCs w:val="24"/>
    </w:rPr>
  </w:style>
  <w:style w:type="paragraph" w:styleId="939">
    <w:name w:val="index heading"/>
    <w:basedOn w:val="920"/>
    <w:qFormat/>
    <w:pPr>
      <w:suppressLineNumbers w:val="true"/>
      <w:pBdr/>
      <w:spacing/>
      <w:ind/>
    </w:pPr>
    <w:rPr>
      <w:rFonts w:ascii="PT Astra Serif" w:hAnsi="PT Astra Serif" w:cs="Noto Sans Devanagari"/>
    </w:rPr>
  </w:style>
  <w:style w:type="paragraph" w:styleId="940">
    <w:name w:val="List Paragraph"/>
    <w:basedOn w:val="920"/>
    <w:uiPriority w:val="34"/>
    <w:qFormat/>
    <w:pPr>
      <w:pBdr/>
      <w:spacing w:after="0" w:before="0"/>
      <w:ind w:firstLine="0" w:left="720"/>
      <w:contextualSpacing w:val="true"/>
    </w:pPr>
  </w:style>
  <w:style w:type="paragraph" w:styleId="941" w:customStyle="1">
    <w:name w:val="ConsPlusNormal"/>
    <w:qFormat/>
    <w:pPr>
      <w:widowControl w:val="false"/>
      <w:pBdr/>
      <w:bidi w:val="false"/>
      <w:spacing w:after="0" w:before="0"/>
      <w:ind/>
      <w:jc w:val="left"/>
    </w:pPr>
    <w:rPr>
      <w:rFonts w:ascii="Times New Roman" w:hAnsi="Times New Roman" w:eastAsia="Times New Roman" w:cs="Times New Roman"/>
      <w:color w:val="auto"/>
      <w:sz w:val="28"/>
      <w:szCs w:val="20"/>
      <w:lang w:val="ru-RU" w:eastAsia="ru-RU" w:bidi="ar-SA"/>
    </w:rPr>
  </w:style>
  <w:style w:type="paragraph" w:styleId="942" w:customStyle="1">
    <w:name w:val="Колонтитул"/>
    <w:basedOn w:val="920"/>
    <w:qFormat/>
    <w:pPr>
      <w:pBdr/>
      <w:spacing/>
      <w:ind/>
    </w:pPr>
  </w:style>
  <w:style w:type="paragraph" w:styleId="943">
    <w:name w:val="Header"/>
    <w:basedOn w:val="920"/>
    <w:link w:val="923"/>
    <w:uiPriority w:val="99"/>
    <w:unhideWhenUsed/>
    <w:pPr>
      <w:pBdr/>
      <w:tabs>
        <w:tab w:val="clear" w:leader="none" w:pos="708"/>
        <w:tab w:val="center" w:leader="none" w:pos="4677"/>
        <w:tab w:val="right" w:leader="none" w:pos="9355"/>
      </w:tabs>
      <w:spacing w:line="240" w:lineRule="auto"/>
      <w:ind/>
    </w:pPr>
  </w:style>
  <w:style w:type="paragraph" w:styleId="944">
    <w:name w:val="Footer"/>
    <w:basedOn w:val="920"/>
    <w:link w:val="924"/>
    <w:uiPriority w:val="99"/>
    <w:unhideWhenUsed/>
    <w:pPr>
      <w:pBdr/>
      <w:tabs>
        <w:tab w:val="clear" w:leader="none" w:pos="708"/>
        <w:tab w:val="center" w:leader="none" w:pos="4677"/>
        <w:tab w:val="right" w:leader="none" w:pos="9355"/>
      </w:tabs>
      <w:spacing w:line="240" w:lineRule="auto"/>
      <w:ind/>
    </w:pPr>
  </w:style>
  <w:style w:type="paragraph" w:styleId="945">
    <w:name w:val="Balloon Text"/>
    <w:basedOn w:val="920"/>
    <w:link w:val="925"/>
    <w:uiPriority w:val="99"/>
    <w:semiHidden/>
    <w:unhideWhenUsed/>
    <w:qFormat/>
    <w:pPr>
      <w:pBdr/>
      <w:spacing w:line="240" w:lineRule="auto"/>
      <w:ind/>
    </w:pPr>
    <w:rPr>
      <w:rFonts w:ascii="Segoe UI" w:hAnsi="Segoe UI" w:cs="Segoe UI"/>
      <w:sz w:val="18"/>
      <w:szCs w:val="18"/>
    </w:rPr>
  </w:style>
  <w:style w:type="paragraph" w:styleId="946" w:customStyle="1">
    <w:name w:val="xl63"/>
    <w:basedOn w:val="920"/>
    <w:qFormat/>
    <w:pPr>
      <w:pBdr/>
      <w:spacing w:afterAutospacing="1" w:beforeAutospacing="1" w:line="240" w:lineRule="auto"/>
      <w:ind/>
      <w:jc w:val="left"/>
    </w:pPr>
    <w:rPr>
      <w:rFonts w:eastAsia="Times New Roman"/>
      <w:b/>
      <w:bCs/>
      <w:szCs w:val="28"/>
      <w:lang w:eastAsia="ru-RU"/>
    </w:rPr>
  </w:style>
  <w:style w:type="paragraph" w:styleId="947" w:customStyle="1">
    <w:name w:val="xl64"/>
    <w:basedOn w:val="920"/>
    <w:qFormat/>
    <w:pPr>
      <w:pBdr/>
      <w:spacing w:afterAutospacing="1" w:beforeAutospacing="1" w:line="240" w:lineRule="auto"/>
      <w:ind/>
      <w:jc w:val="left"/>
    </w:pPr>
    <w:rPr>
      <w:rFonts w:eastAsia="Times New Roman"/>
      <w:szCs w:val="28"/>
      <w:lang w:eastAsia="ru-RU"/>
    </w:rPr>
  </w:style>
  <w:style w:type="paragraph" w:styleId="948" w:customStyle="1">
    <w:name w:val="xl65"/>
    <w:basedOn w:val="920"/>
    <w:qFormat/>
    <w:pPr>
      <w:pBdr/>
      <w:spacing w:afterAutospacing="1" w:beforeAutospacing="1" w:line="240" w:lineRule="auto"/>
      <w:ind/>
      <w:jc w:val="left"/>
    </w:pPr>
    <w:rPr>
      <w:rFonts w:eastAsia="Times New Roman"/>
      <w:szCs w:val="28"/>
      <w:lang w:eastAsia="ru-RU"/>
    </w:rPr>
  </w:style>
  <w:style w:type="paragraph" w:styleId="949" w:customStyle="1">
    <w:name w:val="xl66"/>
    <w:basedOn w:val="920"/>
    <w:qFormat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Autospacing="1" w:beforeAutospacing="1" w:line="240" w:lineRule="auto"/>
      <w:ind/>
      <w:jc w:val="center"/>
    </w:pPr>
    <w:rPr>
      <w:rFonts w:eastAsia="Times New Roman"/>
      <w:szCs w:val="28"/>
      <w:lang w:eastAsia="ru-RU"/>
    </w:rPr>
  </w:style>
  <w:style w:type="paragraph" w:styleId="950" w:customStyle="1">
    <w:name w:val="xl67"/>
    <w:basedOn w:val="920"/>
    <w:qFormat/>
    <w:pPr>
      <w:pBdr>
        <w:top w:val="single" w:color="000000" w:sz="4" w:space="0"/>
        <w:left w:val="single" w:color="000000" w:sz="4" w:space="0"/>
        <w:right w:val="single" w:color="000000" w:sz="4" w:space="0"/>
      </w:pBdr>
      <w:spacing w:afterAutospacing="1" w:beforeAutospacing="1" w:line="240" w:lineRule="auto"/>
      <w:ind/>
      <w:jc w:val="center"/>
    </w:pPr>
    <w:rPr>
      <w:rFonts w:eastAsia="Times New Roman"/>
      <w:szCs w:val="28"/>
      <w:lang w:eastAsia="ru-RU"/>
    </w:rPr>
  </w:style>
  <w:style w:type="paragraph" w:styleId="951" w:customStyle="1">
    <w:name w:val="xl68"/>
    <w:basedOn w:val="920"/>
    <w:qFormat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Autospacing="1" w:beforeAutospacing="1" w:line="240" w:lineRule="auto"/>
      <w:ind/>
      <w:jc w:val="center"/>
    </w:pPr>
    <w:rPr>
      <w:rFonts w:eastAsia="Times New Roman"/>
      <w:szCs w:val="28"/>
      <w:lang w:eastAsia="ru-RU"/>
    </w:rPr>
  </w:style>
  <w:style w:type="paragraph" w:styleId="952" w:customStyle="1">
    <w:name w:val="xl69"/>
    <w:basedOn w:val="920"/>
    <w:qFormat/>
    <w:pPr>
      <w:pBdr>
        <w:left w:val="single" w:color="000000" w:sz="4" w:space="0"/>
        <w:right w:val="single" w:color="000000" w:sz="4" w:space="0"/>
      </w:pBdr>
      <w:spacing w:afterAutospacing="1" w:beforeAutospacing="1" w:line="240" w:lineRule="auto"/>
      <w:ind/>
      <w:jc w:val="center"/>
    </w:pPr>
    <w:rPr>
      <w:rFonts w:eastAsia="Times New Roman"/>
      <w:szCs w:val="28"/>
      <w:lang w:eastAsia="ru-RU"/>
    </w:rPr>
  </w:style>
  <w:style w:type="paragraph" w:styleId="953" w:customStyle="1">
    <w:name w:val="xl70"/>
    <w:basedOn w:val="920"/>
    <w:qFormat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Autospacing="1" w:beforeAutospacing="1" w:line="240" w:lineRule="auto"/>
      <w:ind/>
      <w:jc w:val="center"/>
    </w:pPr>
    <w:rPr>
      <w:rFonts w:eastAsia="Times New Roman"/>
      <w:szCs w:val="28"/>
      <w:lang w:eastAsia="ru-RU"/>
    </w:rPr>
  </w:style>
  <w:style w:type="paragraph" w:styleId="954" w:customStyle="1">
    <w:name w:val="xl71"/>
    <w:basedOn w:val="920"/>
    <w:qFormat/>
    <w:pPr>
      <w:pBdr>
        <w:left w:val="single" w:color="000000" w:sz="4" w:space="0"/>
        <w:bottom w:val="single" w:color="000000" w:sz="4" w:space="0"/>
        <w:right w:val="single" w:color="000000" w:sz="4" w:space="0"/>
      </w:pBdr>
      <w:spacing w:afterAutospacing="1" w:beforeAutospacing="1" w:line="240" w:lineRule="auto"/>
      <w:ind/>
      <w:jc w:val="center"/>
    </w:pPr>
    <w:rPr>
      <w:rFonts w:eastAsia="Times New Roman"/>
      <w:szCs w:val="28"/>
      <w:lang w:eastAsia="ru-RU"/>
    </w:rPr>
  </w:style>
  <w:style w:type="paragraph" w:styleId="955" w:customStyle="1">
    <w:name w:val="xl72"/>
    <w:basedOn w:val="920"/>
    <w:qFormat/>
    <w:pPr>
      <w:pBdr>
        <w:top w:val="single" w:color="000000" w:sz="4" w:space="0"/>
        <w:left w:val="single" w:color="000000" w:sz="4" w:space="0"/>
        <w:bottom w:val="single" w:color="000000" w:sz="4" w:space="0"/>
      </w:pBdr>
      <w:spacing w:afterAutospacing="1" w:beforeAutospacing="1" w:line="240" w:lineRule="auto"/>
      <w:ind/>
      <w:jc w:val="center"/>
    </w:pPr>
    <w:rPr>
      <w:rFonts w:eastAsia="Times New Roman"/>
      <w:szCs w:val="28"/>
      <w:lang w:eastAsia="ru-RU"/>
    </w:rPr>
  </w:style>
  <w:style w:type="paragraph" w:styleId="956" w:customStyle="1">
    <w:name w:val="xl73"/>
    <w:basedOn w:val="920"/>
    <w:qFormat/>
    <w:pPr>
      <w:pBdr>
        <w:top w:val="single" w:color="000000" w:sz="4" w:space="0"/>
        <w:bottom w:val="single" w:color="000000" w:sz="4" w:space="0"/>
      </w:pBdr>
      <w:spacing w:afterAutospacing="1" w:beforeAutospacing="1" w:line="240" w:lineRule="auto"/>
      <w:ind/>
      <w:jc w:val="center"/>
    </w:pPr>
    <w:rPr>
      <w:rFonts w:eastAsia="Times New Roman"/>
      <w:szCs w:val="28"/>
      <w:lang w:eastAsia="ru-RU"/>
    </w:rPr>
  </w:style>
  <w:style w:type="paragraph" w:styleId="957" w:customStyle="1">
    <w:name w:val="xl74"/>
    <w:basedOn w:val="920"/>
    <w:qFormat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afterAutospacing="1" w:beforeAutospacing="1" w:line="240" w:lineRule="auto"/>
      <w:ind/>
      <w:jc w:val="center"/>
    </w:pPr>
    <w:rPr>
      <w:rFonts w:eastAsia="Times New Roman"/>
      <w:szCs w:val="28"/>
      <w:lang w:eastAsia="ru-RU"/>
    </w:rPr>
  </w:style>
  <w:style w:type="paragraph" w:styleId="958" w:customStyle="1">
    <w:name w:val="xl75"/>
    <w:basedOn w:val="920"/>
    <w:qFormat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Autospacing="1" w:beforeAutospacing="1" w:line="240" w:lineRule="auto"/>
      <w:ind/>
      <w:jc w:val="left"/>
    </w:pPr>
    <w:rPr>
      <w:rFonts w:eastAsia="Times New Roman"/>
      <w:b/>
      <w:bCs/>
      <w:szCs w:val="28"/>
      <w:lang w:eastAsia="ru-RU"/>
    </w:rPr>
  </w:style>
  <w:style w:type="paragraph" w:styleId="959" w:customStyle="1">
    <w:name w:val="xl76"/>
    <w:basedOn w:val="920"/>
    <w:qFormat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Autospacing="1" w:beforeAutospacing="1" w:line="240" w:lineRule="auto"/>
      <w:ind/>
      <w:jc w:val="center"/>
    </w:pPr>
    <w:rPr>
      <w:rFonts w:eastAsia="Times New Roman"/>
      <w:b/>
      <w:bCs/>
      <w:szCs w:val="28"/>
      <w:lang w:eastAsia="ru-RU"/>
    </w:rPr>
  </w:style>
  <w:style w:type="paragraph" w:styleId="960" w:customStyle="1">
    <w:name w:val="xl77"/>
    <w:basedOn w:val="920"/>
    <w:qFormat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Autospacing="1" w:beforeAutospacing="1" w:line="240" w:lineRule="auto"/>
      <w:ind/>
      <w:jc w:val="center"/>
    </w:pPr>
    <w:rPr>
      <w:rFonts w:eastAsia="Times New Roman"/>
      <w:b/>
      <w:bCs/>
      <w:szCs w:val="28"/>
      <w:lang w:eastAsia="ru-RU"/>
    </w:rPr>
  </w:style>
  <w:style w:type="paragraph" w:styleId="961" w:customStyle="1">
    <w:name w:val="xl78"/>
    <w:basedOn w:val="920"/>
    <w:qFormat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Autospacing="1" w:beforeAutospacing="1" w:line="240" w:lineRule="auto"/>
      <w:ind/>
      <w:jc w:val="center"/>
    </w:pPr>
    <w:rPr>
      <w:rFonts w:eastAsia="Times New Roman"/>
      <w:szCs w:val="28"/>
      <w:lang w:eastAsia="ru-RU"/>
    </w:rPr>
  </w:style>
  <w:style w:type="paragraph" w:styleId="962" w:customStyle="1">
    <w:name w:val="xl79"/>
    <w:basedOn w:val="920"/>
    <w:qFormat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Autospacing="1" w:beforeAutospacing="1" w:line="240" w:lineRule="auto"/>
      <w:ind/>
      <w:jc w:val="left"/>
    </w:pPr>
    <w:rPr>
      <w:rFonts w:eastAsia="Times New Roman"/>
      <w:szCs w:val="28"/>
      <w:lang w:eastAsia="ru-RU"/>
    </w:rPr>
  </w:style>
  <w:style w:type="paragraph" w:styleId="963" w:customStyle="1">
    <w:name w:val="xl80"/>
    <w:basedOn w:val="920"/>
    <w:qFormat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Autospacing="1" w:beforeAutospacing="1" w:line="240" w:lineRule="auto"/>
      <w:ind/>
      <w:jc w:val="left"/>
    </w:pPr>
    <w:rPr>
      <w:rFonts w:eastAsia="Times New Roman"/>
      <w:szCs w:val="28"/>
      <w:lang w:eastAsia="ru-RU"/>
    </w:rPr>
  </w:style>
  <w:style w:type="paragraph" w:styleId="964" w:customStyle="1">
    <w:name w:val="Обычный (веб)1"/>
    <w:basedOn w:val="920"/>
    <w:uiPriority w:val="99"/>
    <w:semiHidden/>
    <w:unhideWhenUsed/>
    <w:qFormat/>
    <w:pPr>
      <w:pBdr/>
      <w:spacing w:afterAutospacing="1" w:beforeAutospacing="1" w:line="240" w:lineRule="auto"/>
      <w:ind/>
      <w:jc w:val="left"/>
    </w:pPr>
    <w:rPr>
      <w:rFonts w:eastAsia="Times New Roman"/>
      <w:sz w:val="24"/>
      <w:szCs w:val="24"/>
      <w:lang w:eastAsia="ru-RU"/>
    </w:rPr>
  </w:style>
  <w:style w:type="paragraph" w:styleId="965">
    <w:name w:val="annotation text"/>
    <w:basedOn w:val="920"/>
    <w:link w:val="929"/>
    <w:uiPriority w:val="99"/>
    <w:semiHidden/>
    <w:unhideWhenUsed/>
    <w:qFormat/>
    <w:pPr>
      <w:pBdr/>
      <w:spacing w:line="240" w:lineRule="auto"/>
      <w:ind/>
    </w:pPr>
    <w:rPr>
      <w:sz w:val="20"/>
      <w:szCs w:val="20"/>
    </w:rPr>
  </w:style>
  <w:style w:type="paragraph" w:styleId="966">
    <w:name w:val="annotation subject"/>
    <w:basedOn w:val="965"/>
    <w:next w:val="965"/>
    <w:link w:val="930"/>
    <w:uiPriority w:val="99"/>
    <w:semiHidden/>
    <w:unhideWhenUsed/>
    <w:qFormat/>
    <w:pPr>
      <w:pBdr/>
      <w:spacing/>
      <w:ind/>
    </w:pPr>
    <w:rPr>
      <w:b/>
      <w:bCs/>
    </w:rPr>
  </w:style>
  <w:style w:type="paragraph" w:styleId="967" w:customStyle="1">
    <w:name w:val="ConsPlusTitle"/>
    <w:qFormat/>
    <w:pPr>
      <w:widowControl w:val="false"/>
      <w:pBdr/>
      <w:bidi w:val="false"/>
      <w:spacing w:after="0" w:before="0"/>
      <w:ind/>
      <w:jc w:val="left"/>
    </w:pPr>
    <w:rPr>
      <w:rFonts w:ascii="Times New Roman" w:hAnsi="Times New Roman" w:eastAsia="Times New Roman" w:cs="Times New Roman"/>
      <w:b/>
      <w:color w:val="auto"/>
      <w:sz w:val="28"/>
      <w:szCs w:val="20"/>
      <w:lang w:val="ru-RU" w:eastAsia="ru-RU" w:bidi="ar-SA"/>
    </w:rPr>
  </w:style>
  <w:style w:type="paragraph" w:styleId="968" w:customStyle="1">
    <w:name w:val="Default"/>
    <w:qFormat/>
    <w:pPr>
      <w:widowControl w:val="true"/>
      <w:pBdr/>
      <w:bidi w:val="false"/>
      <w:spacing w:after="0" w:before="0"/>
      <w:ind/>
      <w:jc w:val="left"/>
    </w:pPr>
    <w:rPr>
      <w:rFonts w:ascii="Times New Roman" w:hAnsi="Times New Roman" w:eastAsia="Calibri" w:cs="Times New Roman"/>
      <w:color w:val="000000"/>
      <w:sz w:val="24"/>
      <w:szCs w:val="24"/>
      <w:lang w:val="ru-RU" w:eastAsia="ru-RU" w:bidi="ar-SA"/>
    </w:rPr>
  </w:style>
  <w:style w:type="paragraph" w:styleId="969" w:customStyle="1">
    <w:name w:val="Содержимое таблицы"/>
    <w:basedOn w:val="920"/>
    <w:qFormat/>
    <w:pPr>
      <w:widowControl w:val="false"/>
      <w:suppressLineNumbers w:val="true"/>
      <w:pBdr/>
      <w:spacing/>
      <w:ind/>
    </w:pPr>
  </w:style>
  <w:style w:type="paragraph" w:styleId="970" w:customStyle="1">
    <w:name w:val="Заголовок таблицы"/>
    <w:basedOn w:val="969"/>
    <w:qFormat/>
    <w:pPr>
      <w:pBdr/>
      <w:spacing/>
      <w:ind/>
      <w:jc w:val="center"/>
    </w:pPr>
    <w:rPr>
      <w:b/>
      <w:bCs/>
    </w:rPr>
  </w:style>
  <w:style w:type="numbering" w:styleId="971" w:default="1">
    <w:name w:val="No List"/>
    <w:uiPriority w:val="99"/>
    <w:semiHidden/>
    <w:unhideWhenUsed/>
    <w:qFormat/>
    <w:pPr>
      <w:pBdr/>
      <w:spacing/>
      <w:ind/>
    </w:pPr>
  </w:style>
  <w:style w:type="table" w:styleId="972" w:default="1">
    <w:name w:val="Normal Table"/>
    <w:uiPriority w:val="99"/>
    <w:semiHidden/>
    <w:unhideWhenUsed/>
    <w:pPr>
      <w:pBdr/>
      <w:spacing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>
    <w:name w:val="Table Grid"/>
    <w:basedOn w:val="972"/>
    <w:uiPriority w:val="3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8F367B6A-D543-4261-9393-C20B5425D51C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HeadingPairs>
    <vt:vector size="0" baseType="variant"/>
  </HeadingPairs>
  <TitlesOfParts>
    <vt:vector size="0" baseType="lpstr"/>
  </TitlesOfPart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А. Пугачева</dc:creator>
  <dc:description/>
  <dc:language>ru-RU</dc:language>
  <cp:revision>54</cp:revision>
  <dcterms:created xsi:type="dcterms:W3CDTF">2024-08-14T07:27:00Z</dcterms:created>
  <dcterms:modified xsi:type="dcterms:W3CDTF">2026-08-26T10:13:56Z</dcterms:modified>
</cp:coreProperties>
</file>