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header6.xml" ContentType="application/vnd.openxmlformats-officedocument.wordprocessingml.header+xml"/>
  <Override PartName="/word/header5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2C8E36FC">
      <w:pPr>
        <w:pStyle w:val="840"/>
        <w:pBdr/>
        <w:spacing w:after="0" w:line="288" w:lineRule="auto"/>
        <w:ind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3969CCB5">
      <w:pPr>
        <w:pStyle w:val="840"/>
        <w:pBdr/>
        <w:spacing w:after="0" w:line="288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2291886E">
      <w:pPr>
        <w:pStyle w:val="840"/>
        <w:pBdr/>
        <w:spacing w:after="0" w:line="288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КАБИНЕТ МИНИСТРОВ РЕСПУБЛИКИ ТАТАРСТАН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451C16BD">
      <w:pPr>
        <w:pStyle w:val="840"/>
        <w:pBdr/>
        <w:spacing w:after="0" w:line="288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3CFD01B6">
      <w:pPr>
        <w:pStyle w:val="840"/>
        <w:pBdr/>
        <w:spacing w:after="0" w:line="288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08D10DE2">
      <w:pPr>
        <w:pStyle w:val="840"/>
        <w:pBdr/>
        <w:spacing w:after="0" w:line="288" w:lineRule="auto"/>
        <w:ind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«___» _______ 20</w:t>
      </w:r>
      <w:r>
        <w:rPr>
          <w:rFonts w:ascii="Times New Roman" w:hAnsi="Times New Roman"/>
          <w:sz w:val="28"/>
          <w:szCs w:val="28"/>
        </w:rPr>
        <w:t xml:space="preserve">26</w:t>
      </w:r>
      <w:r>
        <w:rPr>
          <w:rFonts w:ascii="Times New Roman" w:hAnsi="Times New Roman"/>
          <w:sz w:val="28"/>
          <w:szCs w:val="28"/>
        </w:rPr>
        <w:t xml:space="preserve"> </w:t>
        <w:tab/>
        <w:tab/>
        <w:tab/>
        <w:tab/>
        <w:tab/>
        <w:tab/>
        <w:tab/>
        <w:tab/>
        <w:t xml:space="preserve"> </w:t>
        <w:tab/>
        <w:t xml:space="preserve">№ 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left" w:leader="none" w:pos="4111"/>
          <w:tab w:val="left" w:leader="none" w:pos="4253"/>
          <w:tab w:val="left" w:leader="none" w:pos="4395"/>
          <w:tab w:val="left" w:leader="none" w:pos="4536"/>
        </w:tabs>
        <w:spacing w:after="0" w:line="240" w:lineRule="auto"/>
        <w:ind w:right="510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left" w:leader="none" w:pos="4111"/>
          <w:tab w:val="left" w:leader="none" w:pos="4253"/>
          <w:tab w:val="left" w:leader="none" w:pos="4395"/>
          <w:tab w:val="left" w:leader="none" w:pos="4536"/>
        </w:tabs>
        <w:spacing w:after="0" w:line="264" w:lineRule="auto"/>
        <w:ind w:right="510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нормативных затрат на в</w:t>
      </w:r>
      <w:r>
        <w:rPr>
          <w:rFonts w:ascii="Times New Roman" w:hAnsi="Times New Roman"/>
          <w:sz w:val="28"/>
          <w:szCs w:val="28"/>
        </w:rPr>
        <w:t xml:space="preserve">ыполнение медицинскими организа</w:t>
      </w:r>
      <w:r>
        <w:rPr>
          <w:rFonts w:ascii="Times New Roman" w:hAnsi="Times New Roman"/>
          <w:sz w:val="28"/>
          <w:szCs w:val="28"/>
        </w:rPr>
        <w:t xml:space="preserve">ци-ями государственной системы здравоохранения Республики Татарстан государственной работы по заготовке, хранению, транспортировке и обеспечению безопасности донорской крови и ее компонентов на 2027 год и на плановый период 2028 и 2029 годов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left" w:leader="none" w:pos="4395"/>
        </w:tabs>
        <w:spacing w:after="0" w:line="264" w:lineRule="auto"/>
        <w:ind w:right="55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left" w:leader="none" w:pos="4395"/>
        </w:tabs>
        <w:spacing w:after="0" w:line="264" w:lineRule="auto"/>
        <w:ind w:right="55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64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Кабинет Министров Республики Татарстан ПОСТАНОВЛЯЕТ: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64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left" w:leader="none" w:pos="851"/>
          <w:tab w:val="left" w:leader="none" w:pos="993"/>
        </w:tabs>
        <w:spacing w:after="0" w:line="264" w:lineRule="auto"/>
        <w:ind w:right="-1" w:firstLine="709"/>
        <w:contextualSpacing w:val="tru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 Утвердить прилагаемые: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64" w:lineRule="auto"/>
        <w:ind w:right="-1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нормативные затраты медицинских организаций государственной системы здравоохранения Республики Татарстан, выполняющих государственную работу по заготовке, хранению, транспортировке и обеспечению безопасности донорской крови и ее компонентов,</w:t>
      </w:r>
      <w: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на 2027 год и на плановый период 2028 и 2029 годов;</w:t>
      </w: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Bdr/>
        <w:spacing w:after="0" w:line="264" w:lineRule="auto"/>
        <w:ind w:right="-1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поправочные к</w:t>
      </w:r>
      <w:r>
        <w:rPr>
          <w:rFonts w:ascii="Times New Roman" w:hAnsi="Times New Roman"/>
          <w:sz w:val="28"/>
          <w:szCs w:val="28"/>
          <w:lang w:eastAsia="ru-RU"/>
        </w:rPr>
        <w:t xml:space="preserve">оэффициенты к нормативным затратам медицинских организаций государственной системы здравоохранения Республики Татарстан, выполняющих государственную работу по заготовке, хранению, транспортировке и обеспечению безопасности донорской крови и ее компонентов,</w:t>
      </w:r>
      <w:r>
        <w:t xml:space="preserve"> </w:t>
      </w:r>
      <w:r>
        <w:rPr>
          <w:rFonts w:ascii="Times New Roman" w:hAnsi="Times New Roman"/>
          <w:sz w:val="28"/>
          <w:szCs w:val="28"/>
        </w:rPr>
        <w:t xml:space="preserve">на 2027 год и на плановый период 2028 и 2029 годов</w:t>
      </w:r>
      <w:r>
        <w:rPr>
          <w:rFonts w:ascii="Times New Roman" w:hAnsi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Bdr/>
        <w:spacing w:after="0" w:line="264" w:lineRule="auto"/>
        <w:ind w:right="-1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объемы государственной работы по заготовке, хранению, транспортировке и обеспечению безопасности донорской крови и ее компонентов, выполняемой медицинскими организациями государственной системы здравоохранения Республики Татарстан,</w:t>
      </w:r>
      <w: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на 2027 год и на плановый период 2028 и 2029 годов.</w:t>
      </w: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Bdr/>
        <w:spacing w:after="0" w:line="264" w:lineRule="auto"/>
        <w:ind w:right="-1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2. </w:t>
      </w:r>
      <w:r>
        <w:rPr>
          <w:rFonts w:ascii="Times New Roman" w:hAnsi="Times New Roman"/>
          <w:sz w:val="28"/>
          <w:szCs w:val="28"/>
          <w:lang w:eastAsia="ru-RU"/>
        </w:rPr>
        <w:t xml:space="preserve">П</w:t>
      </w:r>
      <w:r>
        <w:rPr>
          <w:rFonts w:ascii="Times New Roman" w:hAnsi="Times New Roman"/>
          <w:sz w:val="28"/>
          <w:szCs w:val="28"/>
          <w:lang w:eastAsia="ru-RU"/>
        </w:rPr>
        <w:t xml:space="preserve">ризнать утратившим силу постановление Кабинета Министров Республики Татарстан от 25.09.2025 № 749 «Об утверждении нормативных затрат на выполнение медицинскими организациями государственной системы здравоохранения Республики Татарстан государственной работ</w:t>
      </w:r>
      <w:r>
        <w:rPr>
          <w:rFonts w:ascii="Times New Roman" w:hAnsi="Times New Roman"/>
          <w:sz w:val="28"/>
          <w:szCs w:val="28"/>
          <w:lang w:eastAsia="ru-RU"/>
        </w:rPr>
        <w:t xml:space="preserve">ы по заготовке, хранению, транспортировке и обеспечению безопасности донорской крови и ее компонентов на 2026 год и на плановый период 2027 и 2028 годов».</w:t>
      </w: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Bdr/>
        <w:spacing w:after="0" w:line="264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 Контроль за исполнением настоящего постановления возложить на Министерство здравоохранения Республики Татарстан.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64" w:lineRule="auto"/>
        <w:ind w:right="-1"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4. 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Установить, что настоящее постановление вступает в силу с 1 января </w:t>
      </w:r>
      <w:r>
        <w:rPr>
          <w:rFonts w:ascii="Times New Roman" w:hAnsi="Times New Roman" w:eastAsia="Times New Roman"/>
          <w:sz w:val="28"/>
          <w:szCs w:val="28"/>
          <w:lang w:eastAsia="ru-RU"/>
        </w:rPr>
        <w:br w:type="textWrapping" w:clear="all"/>
        <w:t xml:space="preserve">2027 года.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Bdr/>
        <w:tabs>
          <w:tab w:val="left" w:leader="none" w:pos="0"/>
          <w:tab w:val="left" w:leader="none" w:pos="993"/>
        </w:tabs>
        <w:spacing w:after="0" w:line="264" w:lineRule="auto"/>
        <w:ind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left" w:leader="none" w:pos="0"/>
          <w:tab w:val="left" w:leader="none" w:pos="993"/>
        </w:tabs>
        <w:spacing w:after="0" w:line="264" w:lineRule="auto"/>
        <w:ind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left" w:leader="none" w:pos="0"/>
          <w:tab w:val="left" w:leader="none" w:pos="993"/>
        </w:tabs>
        <w:spacing w:after="0" w:line="264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left" w:leader="none" w:pos="0"/>
          <w:tab w:val="left" w:leader="none" w:pos="993"/>
        </w:tabs>
        <w:spacing w:after="0" w:line="264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Премьер-министр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left" w:leader="none" w:pos="0"/>
          <w:tab w:val="left" w:leader="none" w:pos="993"/>
        </w:tabs>
        <w:spacing w:after="0" w:line="264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Республики Татарстан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А.В.Песошин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left" w:leader="none" w:pos="0"/>
          <w:tab w:val="left" w:leader="none" w:pos="993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left" w:leader="none" w:pos="0"/>
          <w:tab w:val="left" w:leader="none" w:pos="993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  <w:sectPr>
          <w:headerReference w:type="default" r:id="rId9"/>
          <w:headerReference w:type="even" r:id="rId10"/>
          <w:footnotePr/>
          <w:endnotePr/>
          <w:type w:val="nextPage"/>
          <w:pgSz w:h="16838" w:orient="portrait" w:w="11906"/>
          <w:pgMar w:top="1134" w:right="567" w:bottom="1134" w:left="1134" w:header="510" w:footer="709" w:gutter="0"/>
          <w:pgNumType w:start="1"/>
          <w:cols w:num="1" w:sep="0" w:space="708" w:equalWidth="1"/>
          <w:titlePg/>
        </w:sect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left" w:leader="none" w:pos="6804"/>
          <w:tab w:val="left" w:leader="none" w:pos="7088"/>
        </w:tabs>
        <w:spacing w:after="0" w:line="240" w:lineRule="auto"/>
        <w:ind w:right="-1" w:firstLine="4677" w:left="6663"/>
        <w:contextualSpacing w:val="tru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Утверждены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right="-1" w:firstLine="4677" w:left="6663"/>
        <w:contextualSpacing w:val="tru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right="-1" w:firstLine="4677" w:left="6663"/>
        <w:contextualSpacing w:val="tru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Кабинета Министров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firstLine="4677" w:left="6662"/>
        <w:contextualSpacing w:val="tru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right="-1" w:firstLine="4677" w:left="6663"/>
        <w:contextualSpacing w:val="tru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________ 2026 № _____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right="-1" w:left="609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right="-1" w:left="609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Нормативные затраты </w:t>
      </w:r>
      <w:r>
        <w:rPr>
          <w:rFonts w:ascii="Times New Roman" w:hAnsi="Times New Roman"/>
          <w:bCs/>
          <w:sz w:val="28"/>
          <w:szCs w:val="28"/>
          <w:lang w:eastAsia="ru-RU"/>
        </w:rPr>
      </w:r>
      <w:r>
        <w:rPr>
          <w:rFonts w:ascii="Times New Roman" w:hAnsi="Times New Roman"/>
          <w:bCs/>
          <w:sz w:val="28"/>
          <w:szCs w:val="28"/>
          <w:lang w:eastAsia="ru-RU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медицинских организаций государственной системы здравоохранения Республики Татарстан, выполняющих </w:t>
      </w:r>
      <w:r>
        <w:rPr>
          <w:rFonts w:ascii="Times New Roman" w:hAnsi="Times New Roman"/>
          <w:bCs/>
          <w:sz w:val="28"/>
          <w:szCs w:val="28"/>
          <w:lang w:eastAsia="ru-RU"/>
        </w:rPr>
      </w:r>
      <w:r>
        <w:rPr>
          <w:rFonts w:ascii="Times New Roman" w:hAnsi="Times New Roman"/>
          <w:bCs/>
          <w:sz w:val="28"/>
          <w:szCs w:val="28"/>
          <w:lang w:eastAsia="ru-RU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государственную работу по заготовке, хранению, транспортировке и обеспечению безопасности донорской крови </w:t>
      </w:r>
      <w:r>
        <w:rPr>
          <w:rFonts w:ascii="Times New Roman" w:hAnsi="Times New Roman"/>
          <w:bCs/>
          <w:sz w:val="28"/>
          <w:szCs w:val="28"/>
          <w:lang w:eastAsia="ru-RU"/>
        </w:rPr>
      </w:r>
      <w:r>
        <w:rPr>
          <w:rFonts w:ascii="Times New Roman" w:hAnsi="Times New Roman"/>
          <w:bCs/>
          <w:sz w:val="28"/>
          <w:szCs w:val="28"/>
          <w:lang w:eastAsia="ru-RU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и ее компонентов, на 2027год и на плановый период 2028 и 2029 годов</w:t>
      </w:r>
      <w:r>
        <w:rPr>
          <w:rFonts w:ascii="Times New Roman" w:hAnsi="Times New Roman"/>
          <w:bCs/>
          <w:sz w:val="28"/>
          <w:szCs w:val="28"/>
          <w:lang w:eastAsia="ru-RU"/>
        </w:rPr>
      </w:r>
      <w:r>
        <w:rPr>
          <w:rFonts w:ascii="Times New Roman" w:hAnsi="Times New Roman"/>
          <w:bCs/>
          <w:sz w:val="28"/>
          <w:szCs w:val="28"/>
          <w:lang w:eastAsia="ru-RU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</w:r>
    </w:p>
    <w:tbl>
      <w:tblPr>
        <w:tblInd w:w="-80" w:type="dxa"/>
        <w:tblW w:w="15310" w:type="dxa"/>
        <w:tblCellMar>
          <w:left w:w="62" w:type="dxa"/>
          <w:right w:w="62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6521"/>
        <w:gridCol w:w="1276"/>
        <w:gridCol w:w="1353"/>
        <w:gridCol w:w="1482"/>
      </w:tblGrid>
      <w:tr>
        <w:trPr>
          <w:trHeight w:val="473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199" w:type="dxa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Наименование нормативных затрат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Норматив, рублей/литр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2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78" w:type="dxa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наименование работы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21" w:type="dxa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наименование продукта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переработки крови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2027 год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53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2028 год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2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2029 год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</w:p>
        </w:tc>
      </w:tr>
      <w:tr>
        <w:trPr>
          <w:trHeight w:val="2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78" w:type="dxa"/>
            <w:vMerge w:val="restart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Заготовка, хранение,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транспортировка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обеспечение безопасности донорской крови и ее компонентов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21" w:type="dxa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цельная донорская кровь от доноров крови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</w:tcPr>
          <w:p w14:paraId="5CCBBB87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17 340,14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53" w:type="dxa"/>
          </w:tcPr>
          <w:p w14:paraId="047D4BA2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17 380,65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2" w:type="dxa"/>
          </w:tcPr>
          <w:p w14:paraId="628AD374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17 411,96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>
          <w:trHeight w:val="2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78" w:type="dxa"/>
            <w:vMerge w:val="continu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21" w:type="dxa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цельная донорская кровь методом автоматического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афереза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(для заготовки свежезамороженной плазмы методом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плазмафереза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</w:tcPr>
          <w:p w14:paraId="372BEAA3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18 639,34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53" w:type="dxa"/>
          </w:tcPr>
          <w:p w14:paraId="201622EB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18 682,0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2" w:type="dxa"/>
          </w:tcPr>
          <w:p w14:paraId="6F2748F0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18 714,95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>
          <w:trHeight w:val="2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78" w:type="dxa"/>
            <w:vMerge w:val="continu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21" w:type="dxa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цельная донорская кровь методом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тромбоцитофереза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(для заготовки свежезамороженной плазмы методом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плазмафереза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</w:tcPr>
          <w:p w14:paraId="6D523044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18 747,55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53" w:type="dxa"/>
          </w:tcPr>
          <w:p w14:paraId="12AB2C21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18 790,72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2" w:type="dxa"/>
          </w:tcPr>
          <w:p w14:paraId="6B500129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18 824,09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</w:tbl>
    <w:p>
      <w:pPr>
        <w:pBdr/>
        <w:spacing w:after="0" w:line="240" w:lineRule="auto"/>
        <w:ind w:right="-1"/>
        <w:jc w:val="center"/>
        <w:outlineLvl w:val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</w:p>
    <w:p>
      <w:pPr>
        <w:pBdr/>
        <w:spacing w:after="0" w:line="240" w:lineRule="auto"/>
        <w:ind w:right="-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right="-1"/>
        <w:jc w:val="center"/>
        <w:outlineLvl w:val="0"/>
        <w:rPr>
          <w:rFonts w:ascii="Times New Roman" w:hAnsi="Times New Roman"/>
          <w:sz w:val="28"/>
          <w:szCs w:val="28"/>
        </w:rPr>
        <w:sectPr>
          <w:headerReference w:type="default" r:id="rId11"/>
          <w:footnotePr/>
          <w:endnotePr/>
          <w:type w:val="nextPage"/>
          <w:pgSz w:h="11906" w:orient="landscape" w:w="16838"/>
          <w:pgMar w:top="1134" w:right="567" w:bottom="1134" w:left="1134" w:header="709" w:footer="130" w:gutter="0"/>
          <w:pgNumType w:start="1"/>
          <w:cols w:num="1" w:sep="0" w:space="708" w:equalWidth="1"/>
          <w:titlePg/>
        </w:sect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right="-1" w:left="6663"/>
        <w:contextualSpacing w:val="tru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Утверждены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right="-1" w:left="6663"/>
        <w:contextualSpacing w:val="tru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right="-1" w:left="6663"/>
        <w:contextualSpacing w:val="tru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Кабинета Министров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right="-1" w:left="6663"/>
        <w:contextualSpacing w:val="tru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right="-1" w:left="6663"/>
        <w:contextualSpacing w:val="tru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________ 2026 № _____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right="-1" w:left="6096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</w:r>
      <w:r>
        <w:rPr>
          <w:rFonts w:ascii="Times New Roman" w:hAnsi="Times New Roman"/>
          <w:sz w:val="28"/>
          <w:szCs w:val="28"/>
          <w:lang w:val="en-US"/>
        </w:rPr>
      </w:r>
      <w:r>
        <w:rPr>
          <w:rFonts w:ascii="Times New Roman" w:hAnsi="Times New Roman"/>
          <w:sz w:val="28"/>
          <w:szCs w:val="28"/>
          <w:lang w:val="en-US"/>
        </w:rPr>
      </w:r>
    </w:p>
    <w:p>
      <w:pPr>
        <w:pBdr/>
        <w:spacing w:after="0" w:line="240" w:lineRule="auto"/>
        <w:ind w:right="-1" w:left="609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Поправочные коэффициенты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нормативным затратам медицинских организаций государственной системы </w:t>
      </w:r>
      <w:r>
        <w:rPr>
          <w:rFonts w:ascii="Times New Roman" w:hAnsi="Times New Roman"/>
          <w:sz w:val="28"/>
          <w:szCs w:val="28"/>
        </w:rPr>
        <w:br w:type="textWrapping" w:clear="all"/>
        <w:t xml:space="preserve">здравоохранения Республики Татарстан, выполняющих государственную работу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заготовке, хранению, транспортировке и обеспечению безопасности донорской крови и ее компонентов, на 2027 год и на плановый период 2028 и 2029 годов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Ind w:w="108" w:type="dxa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496"/>
        <w:gridCol w:w="1542"/>
        <w:gridCol w:w="1541"/>
        <w:gridCol w:w="1508"/>
      </w:tblGrid>
      <w:tr>
        <w:trPr>
          <w:trHeight w:val="4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78" w:type="dxa"/>
            <w:vMerge w:val="restart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Наименование учреждения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43" w:type="dxa"/>
          </w:tcPr>
          <w:p>
            <w:pPr>
              <w:pBdr/>
              <w:tabs>
                <w:tab w:val="left" w:leader="none" w:pos="1574"/>
                <w:tab w:val="center" w:leader="none" w:pos="3285"/>
              </w:tabs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оправочный коэффициент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>
          <w:trHeight w:val="4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78" w:type="dxa"/>
            <w:vMerge w:val="continu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2027 год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2028 год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4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2029 год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78" w:type="dxa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Государственное автономное учреждение здравоохранения «Республиканский центр крови Министерства здравоохранения Республики Татарстан»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50CCB468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1,078826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0ACD148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1,096996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4" w:type="dxa"/>
          </w:tcPr>
          <w:p w14:paraId="408DDCB8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1,115287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78" w:type="dxa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Государственное автономное учреждение здравоохранения «Межрегиональный клинико-диагностический центр»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73F26467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0,469448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4A9A04D0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0,480009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4" w:type="dxa"/>
          </w:tcPr>
          <w:p w14:paraId="0CBC5199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0,490793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78" w:type="dxa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Государственное автономное учреждение здравоохранения «Республиканская клиническая больница Министерства здравоохранения Республики Татарстан»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0D6D2C5C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0,679262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3CC7073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0,687472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4" w:type="dxa"/>
          </w:tcPr>
          <w:p w14:paraId="78628B68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0,696106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78" w:type="dxa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Государственное автономное учреждение здравоохранения «Детская республиканская клиническая больница Министерства здравоохранения Республики Татарстан»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2ECF03A0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0,310914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F8BFC8D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0,313264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4" w:type="dxa"/>
          </w:tcPr>
          <w:p w14:paraId="428F136C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0,315832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</w:tbl>
    <w:p>
      <w:pPr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left="1211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</w:r>
      <w:r>
        <w:rPr>
          <w:rFonts w:ascii="Times New Roman" w:hAnsi="Times New Roman"/>
          <w:sz w:val="28"/>
          <w:szCs w:val="28"/>
          <w:lang w:val="en-US"/>
        </w:rPr>
      </w:r>
      <w:r>
        <w:rPr>
          <w:rFonts w:ascii="Times New Roman" w:hAnsi="Times New Roman"/>
          <w:sz w:val="28"/>
          <w:szCs w:val="28"/>
          <w:lang w:val="en-US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  <w:sectPr>
          <w:headerReference w:type="default" r:id="rId12"/>
          <w:footnotePr/>
          <w:endnotePr/>
          <w:type w:val="nextPage"/>
          <w:pgSz w:h="16838" w:orient="portrait" w:w="11906"/>
          <w:pgMar w:top="1134" w:right="567" w:bottom="1134" w:left="1134" w:header="708" w:footer="131" w:gutter="0"/>
          <w:pgNumType w:start="1"/>
          <w:cols w:num="1" w:sep="0" w:space="708" w:equalWidth="1"/>
          <w:titlePg/>
        </w:sect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right="-31" w:left="11482"/>
        <w:contextualSpacing w:val="tru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Утверждены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right="-31" w:left="11482"/>
        <w:contextualSpacing w:val="tru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right="-31" w:left="11482"/>
        <w:contextualSpacing w:val="tru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Кабинета Министров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right="-31" w:left="11482"/>
        <w:contextualSpacing w:val="tru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right="-31" w:left="11482"/>
        <w:contextualSpacing w:val="tru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________ 2026 № ______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 w:right="-314" w:left="-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Объемы государственной работы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 w:right="-314" w:left="-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заготовке, хранению, транспортировке и обеспечению безопасности донорской крови и ее компонентов,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 w:right="-314" w:left="-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выполняемой медицинскими организациями государственной системы здравоохранения Республики Татарстан,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 w:right="-314" w:left="-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2027 год и на плановый период 2028 и 2029 годов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Ind w:w="62" w:type="dxa"/>
        <w:tblW w:w="15310" w:type="dxa"/>
        <w:tblCellMar>
          <w:left w:w="62" w:type="dxa"/>
          <w:right w:w="62" w:type="dxa"/>
        </w:tblCellMar>
        <w:tblBorders>
          <w:top w:val="single" w:color="auto" w:sz="4" w:space="0"/>
          <w:left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3402"/>
        <w:gridCol w:w="2410"/>
        <w:gridCol w:w="1701"/>
        <w:gridCol w:w="1842"/>
        <w:gridCol w:w="1985"/>
        <w:gridCol w:w="1985"/>
      </w:tblGrid>
      <w:tr>
        <w:trPr>
          <w:trHeight w:val="421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985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Наименование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работы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402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Наименование продукта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переработки крови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10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Наименование</w:t>
              <w:br/>
              <w:t xml:space="preserve">показателя объема работы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70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Единица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измерения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812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Объем работы в год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556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985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402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10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70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842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2027 год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985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2028 год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985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2029 год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</w:tr>
    </w:tbl>
    <w:p>
      <w:pPr>
        <w:widowControl w:val="false"/>
        <w:pBdr/>
        <w:spacing w:after="0" w:line="240" w:lineRule="auto"/>
        <w:ind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Ind w:w="62" w:type="dxa"/>
        <w:tblW w:w="15310" w:type="dxa"/>
        <w:tblCellMar>
          <w:left w:w="62" w:type="dxa"/>
          <w:right w:w="62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3402"/>
        <w:gridCol w:w="2410"/>
        <w:gridCol w:w="1701"/>
        <w:gridCol w:w="1842"/>
        <w:gridCol w:w="1985"/>
        <w:gridCol w:w="1985"/>
      </w:tblGrid>
      <w:tr>
        <w:trPr>
          <w:trHeight w:val="20"/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1</w:t>
            </w:r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2</w:t>
            </w:r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3</w:t>
            </w:r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4</w:t>
            </w:r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2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5</w:t>
            </w:r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6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7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20"/>
        </w:trPr>
        <w:tc>
          <w:tcPr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10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Государственное автономное учреждение здравоохранения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«Республиканский центр крови Министерства здравоохранения Республики Татарстан»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Заготовка,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хра-нение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тран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портировка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обеспечение безопасности донорской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кро-ви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ее компонентов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цельная донорская кровь от доноров крови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объем условных единиц продуктов переработки крови (в пересчете на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br w:type="textWrapping" w:clear="all"/>
              <w:t xml:space="preserve">1 литр цельной крови)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условных единиц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(в том числе литров)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2" w:type="dxa"/>
          </w:tcPr>
          <w:p w14:paraId="713B1DD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</w:rPr>
              <w:t xml:space="preserve">25 785,0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</w:tcPr>
          <w:p w14:paraId="327947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</w:rPr>
              <w:t xml:space="preserve">25 785,0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</w:tcPr>
          <w:p w14:paraId="6B4AE1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</w:rPr>
              <w:t xml:space="preserve">25 785,0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цельная донорская кровь методом автоматического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афереза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(для заготовки свежезамороженной плазмы методом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плазмафереза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2" w:type="dxa"/>
          </w:tcPr>
          <w:p w14:paraId="4628AF70"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</w:tcPr>
          <w:p w14:paraId="54EFF983"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</w:tcPr>
          <w:p w14:paraId="377390D8"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цельная донорская кровь методом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тромбоцитофе</w:t>
            </w:r>
            <w:bookmarkStart w:id="0" w:name="_GoBack"/>
            <w:r/>
            <w:bookmarkEnd w:id="0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реза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(для заготовки свежезаморо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женной плазмы методом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плазмафереза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2" w:type="dxa"/>
          </w:tcPr>
          <w:p w14:paraId="3D2670C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</w:rPr>
              <w:t xml:space="preserve">11 738,6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</w:tcPr>
          <w:p w14:paraId="0625668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</w:rPr>
              <w:t xml:space="preserve">11 738,6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</w:tcPr>
          <w:p w14:paraId="28A47CD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</w:rPr>
              <w:t xml:space="preserve">11 738,6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10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Государственное автономное учреждение здравоохранения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«Межрегиональный клинико-диагностический центр»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Заготовка,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хра-нение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транс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портировка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обеспечение безопасности донорской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кро-ви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ее компонентов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цельная донорская кровь от доноров крови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объем условных единиц продуктов переработки крови (в пересчете на                 1 литр цельной крови)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условных единиц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(в том числе литров)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2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 xml:space="preserve">987,0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 xml:space="preserve">987,0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 xml:space="preserve">987,0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цельная донорская кровь методом автоматического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афереза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(для заготовки свежезамороженной плазмы методом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плазмафереза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2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 xml:space="preserve">2 449,7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 xml:space="preserve">2 449,7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 xml:space="preserve">2 449,7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цельная донорская кровь методом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тромбоцитофереза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(для заготовки свежезамороженной плазмы методом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плазмафереза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2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 xml:space="preserve">699,8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 xml:space="preserve">699,8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 xml:space="preserve">699,8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10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Государственное автономное учреждение здравоохранения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«Республиканская клиническая больница Министерства здравоохранения Республики Татарстан»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Заготовка,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хра-нение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тран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портировка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обеспечение безопасности донорской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кро-ви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ее компонентов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цельная донорская кровь от доноров крови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объем условных единиц продуктов переработки крови (в пересчете на                   1 литр цельной крови)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условных единиц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(в том числе литров)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2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 xml:space="preserve">2 152,9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 xml:space="preserve">2 152,9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 xml:space="preserve">2 152,9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цельная донорская кровь методом автоматического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афереза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(для заготовки свежезамороженной плазмы методом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плазмафереза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2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 xml:space="preserve">2 668,1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 xml:space="preserve">2 668,1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 xml:space="preserve">2 668,1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цельная донорская кровь методом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тромбоцитофереза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(для заготовки свежезамороженной плазмы методом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плазмафереза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2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 xml:space="preserve">1 281,0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 xml:space="preserve">1 281,0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 xml:space="preserve">1 281,0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10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Государственное автономное учреждение здравоохранения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«Детская республиканская клиническая больница Министерства здравоохранения Республики Татарстан»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5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Заготовка,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хра-нение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тран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портировка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обеспечение безопасности донорской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кро-ви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ее компонентов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цельная донорская кровь от доноров крови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объем условных единиц продуктов переработки крови (в пересчете на                 1 литр цельной крови)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условных единиц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(в том числе литров)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2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875,0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875,0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875,0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цельная донорская кровь методом автоматического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афереза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(для заготовки свежезамороженной плазмы методом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плазмафереза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2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цельная донорская кровь методом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тромбоцитофереза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(для заготовки свежезамороженной плазмы методом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плазмафереза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2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2 500,0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2 500,0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2 500,0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</w:tr>
    </w:tbl>
    <w:p>
      <w:pPr>
        <w:pBdr/>
        <w:spacing w:after="0" w:line="240" w:lineRule="auto"/>
        <w:ind w:right="-1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</w:p>
    <w:p>
      <w:pPr>
        <w:pBdr/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  <w:sectPr>
          <w:headerReference w:type="default" r:id="rId13"/>
          <w:headerReference w:type="first" r:id="rId14"/>
          <w:footnotePr/>
          <w:endnotePr/>
          <w:type w:val="nextPage"/>
          <w:pgSz w:h="11906" w:orient="landscape" w:w="16838"/>
          <w:pgMar w:top="1134" w:right="567" w:bottom="1134" w:left="1134" w:header="709" w:footer="709" w:gutter="0"/>
          <w:pgNumType w:start="1"/>
          <w:cols w:num="1" w:sep="0" w:space="708" w:equalWidth="1"/>
          <w:titlePg/>
        </w:sect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5140CD0D">
      <w:pPr>
        <w:pStyle w:val="840"/>
        <w:pBdr/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ПОЯСНИТЕЛЬНАЯ ЗАПИСКА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 w14:paraId="577C09E4">
      <w:pPr>
        <w:pStyle w:val="840"/>
        <w:pBdr/>
        <w:spacing w:after="0" w:line="24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постановления Кабинета Министров Республики Татарстан</w:t>
      </w:r>
      <w:r>
        <w:rPr>
          <w:rFonts w:ascii="Times New Roman" w:hAnsi="Times New Roman"/>
          <w:b/>
          <w:sz w:val="28"/>
          <w:szCs w:val="28"/>
        </w:rPr>
        <w:br/>
      </w:r>
      <w:r>
        <w:rPr>
          <w:rFonts w:ascii="Times New Roman" w:hAnsi="Times New Roman"/>
          <w:b/>
          <w:sz w:val="28"/>
          <w:szCs w:val="28"/>
        </w:rPr>
        <w:t xml:space="preserve">«</w:t>
      </w:r>
      <w:r>
        <w:rPr>
          <w:rFonts w:ascii="Times New Roman" w:hAnsi="Times New Roman"/>
          <w:b/>
          <w:sz w:val="28"/>
          <w:szCs w:val="28"/>
        </w:rPr>
        <w:t xml:space="preserve">Об утверждении нормативных затрат на выполнение медицинскими организациями государственной системы здравоохранения Республики Татарстан государственной работы по заготовке, хранению, транспортировке и обеспечению безопасности донорской крови и ее компонен</w:t>
      </w:r>
      <w:r>
        <w:rPr>
          <w:rFonts w:ascii="Times New Roman" w:hAnsi="Times New Roman"/>
          <w:b/>
          <w:sz w:val="28"/>
          <w:szCs w:val="28"/>
        </w:rPr>
        <w:t xml:space="preserve">тов на 2027 год и на плановый период 2028 и 2029 годов</w:t>
      </w:r>
      <w:r>
        <w:rPr>
          <w:rFonts w:ascii="Times New Roman" w:hAnsi="Times New Roman"/>
          <w:b/>
          <w:sz w:val="28"/>
          <w:szCs w:val="28"/>
        </w:rPr>
        <w:t xml:space="preserve">»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 w14:paraId="2C7C9C54">
      <w:pPr>
        <w:pStyle w:val="840"/>
        <w:pBdr/>
        <w:spacing w:after="0" w:line="240" w:lineRule="auto"/>
        <w:ind w:right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3BCAE981">
      <w:pPr>
        <w:pStyle w:val="840"/>
        <w:pBdr/>
        <w:tabs>
          <w:tab w:val="left" w:leader="none" w:pos="4820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постановления Кабинета Министров Республики Татарстан «</w:t>
      </w:r>
      <w:r>
        <w:rPr>
          <w:rFonts w:ascii="Times New Roman" w:hAnsi="Times New Roman"/>
          <w:sz w:val="28"/>
          <w:szCs w:val="28"/>
        </w:rPr>
        <w:t xml:space="preserve">О</w:t>
      </w:r>
      <w:r>
        <w:rPr>
          <w:rFonts w:ascii="Times New Roman" w:hAnsi="Times New Roman"/>
          <w:sz w:val="28"/>
          <w:szCs w:val="28"/>
        </w:rPr>
        <w:t xml:space="preserve">б утверждении нормативных затрат на выполнение медицинскими организациями государственной системы здравоохранения Республики Татарстан государственной работы по заготовке, хранению, транспортировке и обеспечению безопасности донорской крови и ее компоненто</w:t>
      </w:r>
      <w:r>
        <w:rPr>
          <w:rFonts w:ascii="Times New Roman" w:hAnsi="Times New Roman"/>
          <w:sz w:val="28"/>
          <w:szCs w:val="28"/>
        </w:rPr>
        <w:t xml:space="preserve">в на 2027 год и на плановый период 2028 и 2029 годов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разработан государственным бюджетным учреждением «Центр экономических и социальных исследований Республики Татарстан при Кабинете Министров Республики Татарстан»</w:t>
      </w:r>
      <w:r>
        <w:rPr>
          <w:rFonts w:ascii="Times New Roman" w:hAnsi="Times New Roman"/>
          <w:sz w:val="28"/>
          <w:szCs w:val="28"/>
        </w:rPr>
        <w:t xml:space="preserve"> в рамках </w:t>
      </w:r>
      <w:r>
        <w:rPr>
          <w:rFonts w:ascii="Times New Roman" w:hAnsi="Times New Roman"/>
          <w:sz w:val="28"/>
          <w:szCs w:val="28"/>
        </w:rPr>
        <w:t xml:space="preserve">реализации Плана работы Кабинета Министров Республики Татарстан на второе полугодие 2026 года, утвержденного распоряжением Кабинета Министров Республики Татарстан от 25.06.2026 № 1300-р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02F6F92A">
      <w:pPr>
        <w:pStyle w:val="840"/>
        <w:pBdr/>
        <w:tabs>
          <w:tab w:val="left" w:leader="none" w:pos="4820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Проектом постановления Кабинета Министров Республики Татарстан </w:t>
      </w:r>
      <w:r>
        <w:rPr>
          <w:rFonts w:ascii="Times New Roman" w:hAnsi="Times New Roman"/>
          <w:sz w:val="28"/>
          <w:szCs w:val="28"/>
        </w:rPr>
        <w:t xml:space="preserve">на 2027 год и </w:t>
      </w:r>
      <w:r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 xml:space="preserve">плановый период 2028 и 2029 годов </w:t>
      </w:r>
      <w:r>
        <w:rPr>
          <w:rFonts w:ascii="Times New Roman" w:hAnsi="Times New Roman"/>
          <w:sz w:val="28"/>
          <w:szCs w:val="28"/>
        </w:rPr>
        <w:t xml:space="preserve">утверждаются</w:t>
      </w:r>
      <w:r>
        <w:rPr>
          <w:rFonts w:ascii="Times New Roman" w:hAnsi="Times New Roman"/>
          <w:sz w:val="28"/>
          <w:szCs w:val="28"/>
        </w:rPr>
        <w:t xml:space="preserve">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58AFD0C3">
      <w:pPr>
        <w:pStyle w:val="840"/>
        <w:pBdr/>
        <w:spacing w:after="0" w:line="240" w:lineRule="auto"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 xml:space="preserve">нормативные затраты медицинских организаций государственной системы здравоохранения Республики Татарстан, выполняющих государственную работу по заготовке, хранению, транспортировке и обеспечению безопасности донорской крови и ее компонентов</w:t>
      </w:r>
      <w:r>
        <w:rPr>
          <w:rFonts w:ascii="Times New Roman" w:hAnsi="Times New Roman"/>
          <w:sz w:val="28"/>
          <w:szCs w:val="28"/>
        </w:rPr>
        <w:t xml:space="preserve">;</w:t>
      </w:r>
      <w:r/>
    </w:p>
    <w:p w14:paraId="306319D4">
      <w:pPr>
        <w:pStyle w:val="840"/>
        <w:pBdr/>
        <w:spacing w:after="0" w:line="240" w:lineRule="auto"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 xml:space="preserve">п</w:t>
      </w:r>
      <w:r>
        <w:rPr>
          <w:rFonts w:ascii="Times New Roman" w:hAnsi="Times New Roman"/>
          <w:sz w:val="28"/>
          <w:szCs w:val="28"/>
        </w:rPr>
        <w:t xml:space="preserve">оправочные коэффициенты к нормативным затратам медицинских организаций государственной системы здравоохранения Республики Татарстан, выполняющих государственную работу по заготовке, хранению, транспортировке и обеспечению безопасности донорской крови и ее </w:t>
      </w:r>
      <w:r>
        <w:rPr>
          <w:rFonts w:ascii="Times New Roman" w:hAnsi="Times New Roman"/>
          <w:sz w:val="28"/>
          <w:szCs w:val="28"/>
        </w:rPr>
        <w:t xml:space="preserve">компонентов;</w:t>
      </w:r>
      <w:r/>
    </w:p>
    <w:p w14:paraId="055548DB">
      <w:pPr>
        <w:pStyle w:val="840"/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объемы государственной работы по заготовке, хранению, транспортировке и обеспечению безопасности донорской крови и ее компонентов, выполняемой медицинскими организациями государственной системы здравоохранения Республики Татарстан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00492F6A">
      <w:pPr>
        <w:pStyle w:val="840"/>
        <w:pBdr/>
        <w:spacing w:after="0" w:line="240" w:lineRule="auto"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 xml:space="preserve">Проектом постановления </w:t>
      </w:r>
      <w:r>
        <w:rPr>
          <w:rFonts w:ascii="Times New Roman" w:hAnsi="Times New Roman"/>
          <w:sz w:val="28"/>
          <w:szCs w:val="28"/>
        </w:rPr>
        <w:t xml:space="preserve">с 1 января 202</w:t>
      </w:r>
      <w:r>
        <w:rPr>
          <w:rFonts w:ascii="Times New Roman" w:hAnsi="Times New Roman"/>
          <w:sz w:val="28"/>
          <w:szCs w:val="28"/>
        </w:rPr>
        <w:t xml:space="preserve">7</w:t>
      </w:r>
      <w:r>
        <w:rPr>
          <w:rFonts w:ascii="Times New Roman" w:hAnsi="Times New Roman"/>
          <w:sz w:val="28"/>
          <w:szCs w:val="28"/>
        </w:rPr>
        <w:t xml:space="preserve"> года </w:t>
      </w:r>
      <w:r>
        <w:rPr>
          <w:rFonts w:ascii="Times New Roman" w:hAnsi="Times New Roman"/>
          <w:sz w:val="28"/>
          <w:szCs w:val="28"/>
        </w:rPr>
        <w:t xml:space="preserve">призна</w:t>
      </w:r>
      <w:r>
        <w:rPr>
          <w:rFonts w:ascii="Times New Roman" w:hAnsi="Times New Roman"/>
          <w:sz w:val="28"/>
          <w:szCs w:val="28"/>
        </w:rPr>
        <w:t xml:space="preserve">ется утратившим сил</w:t>
      </w:r>
      <w:r>
        <w:rPr>
          <w:rFonts w:ascii="Times New Roman" w:hAnsi="Times New Roman"/>
          <w:sz w:val="28"/>
          <w:szCs w:val="28"/>
        </w:rPr>
        <w:t xml:space="preserve">у </w:t>
      </w:r>
      <w:r>
        <w:rPr>
          <w:rFonts w:ascii="Times New Roman" w:hAnsi="Times New Roman"/>
          <w:sz w:val="28"/>
          <w:szCs w:val="28"/>
        </w:rPr>
        <w:t xml:space="preserve">постановлени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 Кабинета Министров Республики Татарстан </w:t>
      </w:r>
      <w:r>
        <w:rPr>
          <w:rFonts w:ascii="Times New Roman" w:hAnsi="Times New Roman"/>
          <w:sz w:val="28"/>
          <w:szCs w:val="28"/>
        </w:rPr>
        <w:t xml:space="preserve">от 25.09.2025 № 749</w:t>
      </w:r>
      <w:r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Об утверждении нормативных затрат на выполнение медицинскими организациями государственной системы здравоохранения Республики Татарстан государственной работы по заготовке, хранению, транспортировке и обеспечению безопасности донорской крови и ее компонент</w:t>
      </w:r>
      <w:r>
        <w:rPr>
          <w:rFonts w:ascii="Times New Roman" w:hAnsi="Times New Roman"/>
          <w:sz w:val="28"/>
          <w:szCs w:val="28"/>
        </w:rPr>
        <w:t xml:space="preserve">ов на 2026 год и на плановый период 2027 и 2028 годов».</w:t>
      </w:r>
      <w:r/>
    </w:p>
    <w:p w14:paraId="2D0C5E50">
      <w:pPr>
        <w:pStyle w:val="840"/>
        <w:pBdr/>
        <w:spacing w:after="0" w:line="240" w:lineRule="auto"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 xml:space="preserve">Принятие данного проекта постановления не потребует выделения дополнительных средств из бюджета Республики Татарстан.</w:t>
      </w:r>
      <w:r/>
    </w:p>
    <w:p w14:paraId="2C1E1702">
      <w:pPr>
        <w:pStyle w:val="840"/>
        <w:pBdr/>
        <w:spacing w:after="0" w:line="240" w:lineRule="auto"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 xml:space="preserve">Необходимость в проведении оценки регулирующего воздействия проекта постановления Кабинета Министров Республики Татарстан</w:t>
      </w:r>
      <w:r>
        <w:rPr>
          <w:rFonts w:ascii="Times New Roman" w:hAnsi="Times New Roman"/>
          <w:sz w:val="28"/>
          <w:szCs w:val="28"/>
        </w:rPr>
        <w:t xml:space="preserve"> отсутствует</w:t>
      </w:r>
      <w:r>
        <w:rPr>
          <w:rFonts w:ascii="Times New Roman" w:hAnsi="Times New Roman"/>
          <w:sz w:val="28"/>
          <w:szCs w:val="28"/>
        </w:rPr>
        <w:t xml:space="preserve">.</w:t>
      </w:r>
      <w:r/>
    </w:p>
    <w:p w14:paraId="64E43CCB">
      <w:pPr>
        <w:pStyle w:val="840"/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итогам независимой антикоррупционной экспертизы проекта постановления Кабинета Министров Республики Татарстан заключений не поступало.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footnotePr/>
      <w:endnotePr/>
      <w:type w:val="nextPage"/>
      <w:pgSz w:h="16838" w:orient="portrait" w:w="11906"/>
      <w:pgMar w:top="1134" w:right="567" w:bottom="1134" w:left="1134" w:header="510" w:footer="709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5"/>
      <w:pBdr/>
      <w:spacing/>
      <w:ind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PAGE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  <w:r>
      <w:rPr>
        <w:rFonts w:ascii="Times New Roman" w:hAnsi="Times New Roman"/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5"/>
      <w:pBdr/>
      <w:spacing/>
      <w:ind/>
      <w:jc w:val="center"/>
      <w:rPr/>
    </w:pPr>
    <w:r/>
    <w:r/>
  </w:p>
  <w:p>
    <w:pPr>
      <w:pStyle w:val="1005"/>
      <w:pBdr/>
      <w:spacing/>
      <w:ind/>
      <w:jc w:val="center"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5"/>
      <w:pBdr/>
      <w:spacing/>
      <w:ind/>
      <w:jc w:val="center"/>
      <w:rPr/>
    </w:pPr>
    <w:r>
      <w:fldChar w:fldCharType="begin"/>
    </w:r>
    <w:r>
      <w:instrText xml:space="preserve">PAGE \* MERGEFORMAT</w:instrText>
    </w:r>
    <w:r>
      <w:fldChar w:fldCharType="separate"/>
    </w:r>
    <w:r>
      <w:t xml:space="preserve">1</w:t>
    </w:r>
    <w:r>
      <w:fldChar w:fldCharType="end"/>
    </w:r>
    <w:r/>
  </w:p>
  <w:p>
    <w:pPr>
      <w:pStyle w:val="1005"/>
      <w:pBdr/>
      <w:spacing/>
      <w:ind/>
      <w:rPr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5"/>
      <w:pBdr/>
      <w:spacing/>
      <w:ind/>
      <w:jc w:val="center"/>
      <w:rPr/>
    </w:pPr>
    <w:r>
      <w:fldChar w:fldCharType="begin"/>
    </w:r>
    <w:r>
      <w:instrText xml:space="preserve">PAGE \* MERGEFORMAT</w:instrText>
    </w:r>
    <w:r>
      <w:fldChar w:fldCharType="separate"/>
    </w:r>
    <w:r>
      <w:t xml:space="preserve">1</w:t>
    </w:r>
    <w:r>
      <w:fldChar w:fldCharType="end"/>
    </w:r>
    <w:r/>
  </w:p>
  <w:p>
    <w:pPr>
      <w:pStyle w:val="1005"/>
      <w:pBdr/>
      <w:spacing/>
      <w:ind/>
      <w:rPr/>
    </w:pPr>
    <w:r/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5"/>
      <w:pBdr/>
      <w:spacing/>
      <w:ind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PAGE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3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  <w:r>
      <w:rPr>
        <w:rFonts w:ascii="Times New Roman" w:hAnsi="Times New Roman"/>
        <w:sz w:val="28"/>
        <w:szCs w:val="28"/>
      </w:rPr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5"/>
      <w:pBdr/>
      <w:spacing/>
      <w:ind/>
      <w:jc w:val="center"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71C69"/>
    <w:lvl w:ilvl="0">
      <w:isLgl w:val="false"/>
      <w:lvlJc w:val="left"/>
      <w:lvlText w:val="%1."/>
      <w:numFmt w:val="decimal"/>
      <w:pPr>
        <w:pBdr/>
        <w:spacing/>
        <w:ind w:hanging="360" w:left="90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abstractNum w:abstractNumId="1">
    <w:nsid w:val="05523E14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720" w:left="1440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180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1080" w:left="252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288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440" w:left="360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800" w:left="432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800" w:left="468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2160" w:left="5400"/>
      </w:pPr>
      <w:rPr/>
      <w:start w:val="1"/>
      <w:suff w:val="tab"/>
    </w:lvl>
  </w:abstractNum>
  <w:abstractNum w:abstractNumId="2">
    <w:nsid w:val="09C906E8"/>
    <w:lvl w:ilvl="0">
      <w:isLgl w:val="false"/>
      <w:lvlJc w:val="left"/>
      <w:lvlText w:val="%1."/>
      <w:numFmt w:val="decimal"/>
      <w:pPr>
        <w:pBdr/>
        <w:spacing/>
        <w:ind w:hanging="360" w:left="1211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3">
    <w:nsid w:val="0A7A28EF"/>
    <w:lvl w:ilvl="0">
      <w:isLgl w:val="false"/>
      <w:lvlJc w:val="left"/>
      <w:lvlText w:val="%1."/>
      <w:numFmt w:val="decimal"/>
      <w:pPr>
        <w:pBdr/>
        <w:spacing/>
        <w:ind w:hanging="360" w:left="106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4">
    <w:nsid w:val="18786C2C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5">
    <w:nsid w:val="230D5528"/>
    <w:lvl w:ilvl="0">
      <w:isLgl w:val="false"/>
      <w:lvlJc w:val="left"/>
      <w:lvlText w:val="%1."/>
      <w:numFmt w:val="decimal"/>
      <w:pPr>
        <w:pBdr/>
        <w:spacing/>
        <w:ind w:hanging="360" w:left="1211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31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51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71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091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11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31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51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71"/>
      </w:pPr>
      <w:rPr/>
      <w:start w:val="1"/>
      <w:suff w:val="tab"/>
    </w:lvl>
  </w:abstractNum>
  <w:abstractNum w:abstractNumId="6">
    <w:nsid w:val="2D8D33E5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7">
    <w:nsid w:val="387070BD"/>
    <w:lvl w:ilvl="0">
      <w:isLgl w:val="false"/>
      <w:lvlJc w:val="left"/>
      <w:lvlText w:val="%1."/>
      <w:numFmt w:val="decimal"/>
      <w:pPr>
        <w:pBdr/>
        <w:spacing/>
        <w:ind w:hanging="360" w:left="1211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8">
    <w:nsid w:val="395E7990"/>
    <w:lvl w:ilvl="0">
      <w:isLgl w:val="false"/>
      <w:lvlJc w:val="left"/>
      <w:lvlText w:val="%1."/>
      <w:numFmt w:val="decimal"/>
      <w:pPr>
        <w:pBdr/>
        <w:spacing/>
        <w:ind w:hanging="360" w:left="1211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9">
    <w:nsid w:val="41FD5B5A"/>
    <w:lvl w:ilvl="0">
      <w:isLgl w:val="false"/>
      <w:lvlJc w:val="left"/>
      <w:lvlText w:val="%1."/>
      <w:numFmt w:val="decimal"/>
      <w:pPr>
        <w:pBdr/>
        <w:spacing/>
        <w:ind w:hanging="360" w:left="92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8"/>
      </w:pPr>
      <w:rPr/>
      <w:start w:val="1"/>
      <w:suff w:val="tab"/>
    </w:lvl>
  </w:abstractNum>
  <w:abstractNum w:abstractNumId="10">
    <w:nsid w:val="484C43F3"/>
    <w:lvl w:ilvl="0">
      <w:isLgl w:val="false"/>
      <w:lvlJc w:val="left"/>
      <w:lvlText w:val="%1."/>
      <w:numFmt w:val="decimal"/>
      <w:pPr>
        <w:pBdr/>
        <w:spacing/>
        <w:ind w:hanging="360" w:left="106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abstractNum w:abstractNumId="11">
    <w:nsid w:val="510B4A5B"/>
    <w:lvl w:ilvl="0">
      <w:isLgl w:val="false"/>
      <w:lvlJc w:val="left"/>
      <w:lvlText w:val="%1."/>
      <w:numFmt w:val="decimal"/>
      <w:pPr>
        <w:pBdr/>
        <w:spacing/>
        <w:ind w:hanging="360" w:left="106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2">
    <w:nsid w:val="58045CCC"/>
    <w:lvl w:ilvl="0">
      <w:isLgl w:val="false"/>
      <w:lvlJc w:val="left"/>
      <w:lvlText w:val="%1"/>
      <w:numFmt w:val="decimal"/>
      <w:pPr>
        <w:pBdr/>
        <w:spacing/>
        <w:ind w:hanging="360" w:left="1211"/>
      </w:pPr>
      <w:rPr/>
      <w:start w:val="3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31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51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71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091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11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31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51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71"/>
      </w:pPr>
      <w:rPr/>
      <w:start w:val="1"/>
      <w:suff w:val="tab"/>
    </w:lvl>
  </w:abstractNum>
  <w:abstractNum w:abstractNumId="13">
    <w:nsid w:val="5D3E4E72"/>
    <w:lvl w:ilvl="0">
      <w:isLgl w:val="false"/>
      <w:lvlJc w:val="left"/>
      <w:lvlText w:val="%1."/>
      <w:numFmt w:val="decimal"/>
      <w:pPr>
        <w:pBdr/>
        <w:spacing/>
        <w:ind w:hanging="360" w:left="106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4">
    <w:nsid w:val="649F0561"/>
    <w:lvl w:ilvl="0">
      <w:isLgl w:val="false"/>
      <w:lvlJc w:val="left"/>
      <w:lvlText w:val="%1."/>
      <w:numFmt w:val="decimal"/>
      <w:pPr>
        <w:pBdr/>
        <w:spacing/>
        <w:ind w:hanging="360" w:left="786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6"/>
      </w:pPr>
      <w:rPr/>
      <w:start w:val="1"/>
      <w:suff w:val="tab"/>
    </w:lvl>
  </w:abstractNum>
  <w:abstractNum w:abstractNumId="15">
    <w:nsid w:val="7ACA6D51"/>
    <w:lvl w:ilvl="0">
      <w:isLgl w:val="false"/>
      <w:lvlJc w:val="left"/>
      <w:lvlText w:val="%1."/>
      <w:numFmt w:val="decimal"/>
      <w:pPr>
        <w:pBdr/>
        <w:spacing/>
        <w:ind w:hanging="360" w:left="108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14"/>
  </w:num>
  <w:num w:numId="5">
    <w:abstractNumId w:val="10"/>
  </w:num>
  <w:num w:numId="6">
    <w:abstractNumId w:val="7"/>
  </w:num>
  <w:num w:numId="7">
    <w:abstractNumId w:val="13"/>
  </w:num>
  <w:num w:numId="8">
    <w:abstractNumId w:val="11"/>
  </w:num>
  <w:num w:numId="9">
    <w:abstractNumId w:val="12"/>
  </w:num>
  <w:num w:numId="10">
    <w:abstractNumId w:val="8"/>
  </w:num>
  <w:num w:numId="11">
    <w:abstractNumId w:val="2"/>
  </w:num>
  <w:num w:numId="12">
    <w:abstractNumId w:val="5"/>
  </w:num>
  <w:num w:numId="13">
    <w:abstractNumId w:val="9"/>
  </w:num>
  <w:num w:numId="14">
    <w:abstractNumId w:val="15"/>
  </w:num>
  <w:num w:numId="15">
    <w:abstractNumId w:val="4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25">
    <w:name w:val="Heading 1 Char"/>
    <w:basedOn w:val="850"/>
    <w:link w:val="8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26">
    <w:name w:val="Heading 2 Char"/>
    <w:basedOn w:val="850"/>
    <w:link w:val="84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27">
    <w:name w:val="Heading 3 Char"/>
    <w:basedOn w:val="850"/>
    <w:link w:val="8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28">
    <w:name w:val="Heading 4 Char"/>
    <w:basedOn w:val="850"/>
    <w:link w:val="844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29">
    <w:name w:val="Heading 5 Char"/>
    <w:basedOn w:val="850"/>
    <w:link w:val="84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30">
    <w:name w:val="Heading 6 Char"/>
    <w:basedOn w:val="850"/>
    <w:link w:val="846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31">
    <w:name w:val="Heading 7 Char"/>
    <w:basedOn w:val="850"/>
    <w:link w:val="847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32">
    <w:name w:val="Heading 8 Char"/>
    <w:basedOn w:val="850"/>
    <w:link w:val="84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33">
    <w:name w:val="Heading 9 Char"/>
    <w:basedOn w:val="850"/>
    <w:link w:val="84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34">
    <w:name w:val="Title Char"/>
    <w:basedOn w:val="850"/>
    <w:link w:val="98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835">
    <w:name w:val="Subtitle Char"/>
    <w:basedOn w:val="850"/>
    <w:link w:val="99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36">
    <w:name w:val="Quote Char"/>
    <w:basedOn w:val="850"/>
    <w:link w:val="99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37">
    <w:name w:val="Intense Quote Char"/>
    <w:basedOn w:val="850"/>
    <w:link w:val="99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38">
    <w:name w:val="Footnote Text Char"/>
    <w:basedOn w:val="850"/>
    <w:link w:val="1010"/>
    <w:uiPriority w:val="99"/>
    <w:semiHidden/>
    <w:pPr>
      <w:pBdr/>
      <w:spacing/>
      <w:ind/>
    </w:pPr>
    <w:rPr>
      <w:sz w:val="20"/>
      <w:szCs w:val="20"/>
    </w:rPr>
  </w:style>
  <w:style w:type="character" w:styleId="839">
    <w:name w:val="Endnote Text Char"/>
    <w:basedOn w:val="850"/>
    <w:link w:val="1013"/>
    <w:uiPriority w:val="99"/>
    <w:semiHidden/>
    <w:pPr>
      <w:pBdr/>
      <w:spacing/>
      <w:ind/>
    </w:pPr>
    <w:rPr>
      <w:sz w:val="20"/>
      <w:szCs w:val="20"/>
    </w:rPr>
  </w:style>
  <w:style w:type="paragraph" w:styleId="840" w:default="1">
    <w:name w:val="Normal"/>
    <w:qFormat/>
    <w:pPr>
      <w:pBdr/>
      <w:spacing w:after="200" w:line="276" w:lineRule="auto"/>
      <w:ind/>
    </w:pPr>
    <w:rPr>
      <w:sz w:val="22"/>
      <w:szCs w:val="22"/>
      <w:lang w:eastAsia="en-US"/>
    </w:rPr>
  </w:style>
  <w:style w:type="paragraph" w:styleId="841">
    <w:name w:val="Heading 1"/>
    <w:basedOn w:val="840"/>
    <w:next w:val="840"/>
    <w:link w:val="97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365f91" w:themeColor="accent1" w:themeShade="BF"/>
      <w:sz w:val="40"/>
      <w:szCs w:val="40"/>
    </w:rPr>
  </w:style>
  <w:style w:type="paragraph" w:styleId="842">
    <w:name w:val="Heading 2"/>
    <w:basedOn w:val="840"/>
    <w:next w:val="840"/>
    <w:link w:val="98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365f91" w:themeColor="accent1" w:themeShade="BF"/>
      <w:sz w:val="32"/>
      <w:szCs w:val="32"/>
    </w:rPr>
  </w:style>
  <w:style w:type="paragraph" w:styleId="843">
    <w:name w:val="Heading 3"/>
    <w:basedOn w:val="840"/>
    <w:next w:val="840"/>
    <w:link w:val="98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365f91" w:themeColor="accent1" w:themeShade="BF"/>
      <w:sz w:val="28"/>
      <w:szCs w:val="28"/>
    </w:rPr>
  </w:style>
  <w:style w:type="paragraph" w:styleId="844">
    <w:name w:val="Heading 4"/>
    <w:basedOn w:val="840"/>
    <w:next w:val="840"/>
    <w:link w:val="98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365f91" w:themeColor="accent1" w:themeShade="BF"/>
    </w:rPr>
  </w:style>
  <w:style w:type="paragraph" w:styleId="845">
    <w:name w:val="Heading 5"/>
    <w:basedOn w:val="840"/>
    <w:next w:val="840"/>
    <w:link w:val="98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365f91" w:themeColor="accent1" w:themeShade="BF"/>
    </w:rPr>
  </w:style>
  <w:style w:type="paragraph" w:styleId="846">
    <w:name w:val="Heading 6"/>
    <w:basedOn w:val="840"/>
    <w:next w:val="840"/>
    <w:link w:val="98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47">
    <w:name w:val="Heading 7"/>
    <w:basedOn w:val="840"/>
    <w:next w:val="840"/>
    <w:link w:val="98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48">
    <w:name w:val="Heading 8"/>
    <w:basedOn w:val="840"/>
    <w:next w:val="840"/>
    <w:link w:val="98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49">
    <w:name w:val="Heading 9"/>
    <w:basedOn w:val="840"/>
    <w:next w:val="840"/>
    <w:link w:val="98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50" w:default="1">
    <w:name w:val="Default Paragraph Font"/>
    <w:uiPriority w:val="1"/>
    <w:semiHidden/>
    <w:unhideWhenUsed/>
    <w:pPr>
      <w:pBdr/>
      <w:spacing/>
      <w:ind/>
    </w:pPr>
  </w:style>
  <w:style w:type="table" w:styleId="85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52" w:default="1">
    <w:name w:val="No List"/>
    <w:uiPriority w:val="99"/>
    <w:semiHidden/>
    <w:unhideWhenUsed/>
    <w:pPr>
      <w:pBdr/>
      <w:spacing/>
      <w:ind/>
    </w:pPr>
  </w:style>
  <w:style w:type="table" w:styleId="853">
    <w:name w:val="Table Grid"/>
    <w:basedOn w:val="851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Table Grid Light"/>
    <w:basedOn w:val="851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Plain Table 1"/>
    <w:basedOn w:val="851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Plain Table 2"/>
    <w:basedOn w:val="851"/>
    <w:uiPriority w:val="59"/>
    <w:pPr>
      <w:pBdr/>
      <w:spacing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Plain Table 3"/>
    <w:basedOn w:val="85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Plain Table 4"/>
    <w:basedOn w:val="85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Plain Table 5"/>
    <w:basedOn w:val="85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Grid Table 1 Light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Grid Table 1 Light - Accent 1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Grid Table 1 Light - Accent 2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Grid Table 1 Light - Accent 3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Grid Table 1 Light - Accent 4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Grid Table 1 Light - Accent 5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Grid Table 1 Light - Accent 6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Grid Table 2"/>
    <w:basedOn w:val="851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Grid Table 2 - Accent 1"/>
    <w:basedOn w:val="851"/>
    <w:uiPriority w:val="99"/>
    <w:pPr>
      <w:pBdr/>
      <w:spacing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Grid Table 2 - Accent 2"/>
    <w:basedOn w:val="851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Grid Table 2 - Accent 3"/>
    <w:basedOn w:val="851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Grid Table 2 - Accent 4"/>
    <w:basedOn w:val="851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Grid Table 2 - Accent 5"/>
    <w:basedOn w:val="851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Grid Table 2 - Accent 6"/>
    <w:basedOn w:val="851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Grid Table 3"/>
    <w:basedOn w:val="851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Grid Table 3 - Accent 1"/>
    <w:basedOn w:val="851"/>
    <w:uiPriority w:val="99"/>
    <w:pPr>
      <w:pBdr/>
      <w:spacing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Grid Table 3 - Accent 2"/>
    <w:basedOn w:val="851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Grid Table 3 - Accent 3"/>
    <w:basedOn w:val="851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Grid Table 3 - Accent 4"/>
    <w:basedOn w:val="851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Grid Table 3 - Accent 5"/>
    <w:basedOn w:val="851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Grid Table 3 - Accent 6"/>
    <w:basedOn w:val="851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Grid Table 4"/>
    <w:basedOn w:val="851"/>
    <w:uiPriority w:val="5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Grid Table 4 - Accent 1"/>
    <w:basedOn w:val="851"/>
    <w:uiPriority w:val="5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d8ac2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Grid Table 4 - Accent 2"/>
    <w:basedOn w:val="851"/>
    <w:uiPriority w:val="5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Grid Table 4 - Accent 3"/>
    <w:basedOn w:val="851"/>
    <w:uiPriority w:val="5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abb59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Grid Table 4 - Accent 4"/>
    <w:basedOn w:val="851"/>
    <w:uiPriority w:val="5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Grid Table 4 - Accent 5"/>
    <w:basedOn w:val="851"/>
    <w:uiPriority w:val="5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Grid Table 4 - Accent 6"/>
    <w:basedOn w:val="851"/>
    <w:uiPriority w:val="5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Grid Table 5 Dark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Grid Table 5 Dark- Accent 1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Grid Table 5 Dark - Accent 2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Grid Table 5 Dark - Accent 3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Grid Table 5 Dark- Accent 4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Grid Table 5 Dark - Accent 5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Grid Table 5 Dark - Accent 6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Grid Table 6 Colorful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Grid Table 6 Colorful - Accent 1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Grid Table 6 Colorful - Accent 2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Grid Table 6 Colorful - Accent 3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Grid Table 6 Colorful - Accent 4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Grid Table 6 Colorful - Accent 5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Grid Table 6 Colorful - Accent 6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Grid Table 7 Colorful"/>
    <w:basedOn w:val="851"/>
    <w:uiPriority w:val="99"/>
    <w:pPr>
      <w:pBdr/>
      <w:spacing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Grid Table 7 Colorful - Accent 1"/>
    <w:basedOn w:val="851"/>
    <w:uiPriority w:val="99"/>
    <w:pPr>
      <w:pBdr/>
      <w:spacing/>
      <w:ind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Grid Table 7 Colorful - Accent 2"/>
    <w:basedOn w:val="851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Grid Table 7 Colorful - Accent 3"/>
    <w:basedOn w:val="851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Grid Table 7 Colorful - Accent 4"/>
    <w:basedOn w:val="851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Grid Table 7 Colorful - Accent 5"/>
    <w:basedOn w:val="851"/>
    <w:uiPriority w:val="99"/>
    <w:pPr>
      <w:pBdr/>
      <w:spacing/>
      <w:ind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Grid Table 7 Colorful - Accent 6"/>
    <w:basedOn w:val="851"/>
    <w:uiPriority w:val="99"/>
    <w:pPr>
      <w:pBdr/>
      <w:spacing/>
      <w:ind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List Table 1 Light"/>
    <w:basedOn w:val="85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List Table 1 Light - Accent 1"/>
    <w:basedOn w:val="85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List Table 1 Light - Accent 2"/>
    <w:basedOn w:val="85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List Table 1 Light - Accent 3"/>
    <w:basedOn w:val="85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List Table 1 Light - Accent 4"/>
    <w:basedOn w:val="85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List Table 1 Light - Accent 5"/>
    <w:basedOn w:val="85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List Table 1 Light - Accent 6"/>
    <w:basedOn w:val="85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List Table 2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List Table 2 - Accent 1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List Table 2 - Accent 2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List Table 2 - Accent 3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List Table 2 - Accent 4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List Table 2 - Accent 5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List Table 2 - Accent 6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List Table 3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List Table 3 - Accent 1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List Table 3 - Accent 2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List Table 3 - Accent 3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List Table 3 - Accent 4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List Table 3 - Accent 5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List Table 3 - Accent 6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List Table 4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List Table 4 - Accent 1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List Table 4 - Accent 2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List Table 4 - Accent 3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List Table 4 - Accent 4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List Table 4 - Accent 5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List Table 4 - Accent 6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List Table 5 Dark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List Table 5 Dark - Accent 1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List Table 5 Dark - Accent 2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List Table 5 Dark - Accent 3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 w:customStyle="1">
    <w:name w:val="List Table 5 Dark - Accent 4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List Table 5 Dark - Accent 5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List Table 5 Dark - Accent 6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List Table 6 Colorful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 w:customStyle="1">
    <w:name w:val="List Table 6 Colorful - Accent 1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 w:customStyle="1">
    <w:name w:val="List Table 6 Colorful - Accent 2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List Table 6 Colorful - Accent 3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 w:customStyle="1">
    <w:name w:val="List Table 6 Colorful - Accent 4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 w:customStyle="1">
    <w:name w:val="List Table 6 Colorful - Accent 5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 w:customStyle="1">
    <w:name w:val="List Table 6 Colorful - Accent 6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>
    <w:name w:val="List Table 7 Colorful"/>
    <w:basedOn w:val="851"/>
    <w:uiPriority w:val="99"/>
    <w:pPr>
      <w:pBdr/>
      <w:spacing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 w:customStyle="1">
    <w:name w:val="List Table 7 Colorful - Accent 1"/>
    <w:basedOn w:val="851"/>
    <w:uiPriority w:val="99"/>
    <w:pPr>
      <w:pBdr/>
      <w:spacing/>
      <w:ind/>
    </w:pPr>
    <w:tblPr>
      <w:tblStyleRowBandSize w:val="1"/>
      <w:tblStyleColBandSize w:val="1"/>
      <w:tblBorders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 w:customStyle="1">
    <w:name w:val="List Table 7 Colorful - Accent 2"/>
    <w:basedOn w:val="851"/>
    <w:uiPriority w:val="99"/>
    <w:pPr>
      <w:pBdr/>
      <w:spacing/>
      <w:ind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 w:customStyle="1">
    <w:name w:val="List Table 7 Colorful - Accent 3"/>
    <w:basedOn w:val="851"/>
    <w:uiPriority w:val="99"/>
    <w:pPr>
      <w:pBdr/>
      <w:spacing/>
      <w:ind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 w:customStyle="1">
    <w:name w:val="List Table 7 Colorful - Accent 4"/>
    <w:basedOn w:val="851"/>
    <w:uiPriority w:val="99"/>
    <w:pPr>
      <w:pBdr/>
      <w:spacing/>
      <w:ind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 w:customStyle="1">
    <w:name w:val="List Table 7 Colorful - Accent 5"/>
    <w:basedOn w:val="851"/>
    <w:uiPriority w:val="99"/>
    <w:pPr>
      <w:pBdr/>
      <w:spacing/>
      <w:ind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 w:customStyle="1">
    <w:name w:val="List Table 7 Colorful - Accent 6"/>
    <w:basedOn w:val="851"/>
    <w:uiPriority w:val="99"/>
    <w:pPr>
      <w:pBdr/>
      <w:spacing/>
      <w:ind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 w:customStyle="1">
    <w:name w:val="Lined - Accent"/>
    <w:basedOn w:val="85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 w:customStyle="1">
    <w:name w:val="Lined - Accent 1"/>
    <w:basedOn w:val="85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 w:customStyle="1">
    <w:name w:val="Lined - Accent 2"/>
    <w:basedOn w:val="85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 w:customStyle="1">
    <w:name w:val="Lined - Accent 3"/>
    <w:basedOn w:val="85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 w:customStyle="1">
    <w:name w:val="Lined - Accent 4"/>
    <w:basedOn w:val="85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 w:customStyle="1">
    <w:name w:val="Lined - Accent 5"/>
    <w:basedOn w:val="85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 w:customStyle="1">
    <w:name w:val="Lined - Accent 6"/>
    <w:basedOn w:val="85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 w:customStyle="1">
    <w:name w:val="Bordered &amp; Lined - Accent"/>
    <w:basedOn w:val="85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 w:customStyle="1">
    <w:name w:val="Bordered &amp; Lined - Accent 1"/>
    <w:basedOn w:val="85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 w:customStyle="1">
    <w:name w:val="Bordered &amp; Lined - Accent 2"/>
    <w:basedOn w:val="85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 w:customStyle="1">
    <w:name w:val="Bordered &amp; Lined - Accent 3"/>
    <w:basedOn w:val="85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 w:customStyle="1">
    <w:name w:val="Bordered &amp; Lined - Accent 4"/>
    <w:basedOn w:val="85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 w:customStyle="1">
    <w:name w:val="Bordered &amp; Lined - Accent 5"/>
    <w:basedOn w:val="85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 w:customStyle="1">
    <w:name w:val="Bordered &amp; Lined - Accent 6"/>
    <w:basedOn w:val="85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 w:customStyle="1">
    <w:name w:val="Bordered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 w:customStyle="1">
    <w:name w:val="Bordered - Accent 1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 w:customStyle="1">
    <w:name w:val="Bordered - Accent 2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 w:customStyle="1">
    <w:name w:val="Bordered - Accent 3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 w:customStyle="1">
    <w:name w:val="Bordered - Accent 4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 w:customStyle="1">
    <w:name w:val="Bordered - Accent 5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 w:customStyle="1">
    <w:name w:val="Bordered - Accent 6"/>
    <w:basedOn w:val="851"/>
    <w:uiPriority w:val="99"/>
    <w:pPr>
      <w:pBdr/>
      <w:spacing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79" w:customStyle="1">
    <w:name w:val="Заголовок 1 Знак"/>
    <w:basedOn w:val="850"/>
    <w:link w:val="841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40"/>
      <w:szCs w:val="40"/>
    </w:rPr>
  </w:style>
  <w:style w:type="character" w:styleId="980" w:customStyle="1">
    <w:name w:val="Заголовок 2 Знак"/>
    <w:basedOn w:val="850"/>
    <w:link w:val="842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32"/>
      <w:szCs w:val="32"/>
    </w:rPr>
  </w:style>
  <w:style w:type="character" w:styleId="981" w:customStyle="1">
    <w:name w:val="Заголовок 3 Знак"/>
    <w:basedOn w:val="850"/>
    <w:link w:val="843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28"/>
      <w:szCs w:val="28"/>
    </w:rPr>
  </w:style>
  <w:style w:type="character" w:styleId="982" w:customStyle="1">
    <w:name w:val="Заголовок 4 Знак"/>
    <w:basedOn w:val="850"/>
    <w:link w:val="844"/>
    <w:uiPriority w:val="9"/>
    <w:pPr>
      <w:pBdr/>
      <w:spacing/>
      <w:ind/>
    </w:pPr>
    <w:rPr>
      <w:rFonts w:ascii="Arial" w:hAnsi="Arial" w:eastAsia="Arial" w:cs="Arial"/>
      <w:i/>
      <w:iCs/>
      <w:color w:val="365f91" w:themeColor="accent1" w:themeShade="BF"/>
    </w:rPr>
  </w:style>
  <w:style w:type="character" w:styleId="983" w:customStyle="1">
    <w:name w:val="Заголовок 5 Знак"/>
    <w:basedOn w:val="850"/>
    <w:link w:val="845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</w:rPr>
  </w:style>
  <w:style w:type="character" w:styleId="984" w:customStyle="1">
    <w:name w:val="Заголовок 6 Знак"/>
    <w:basedOn w:val="850"/>
    <w:link w:val="846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85" w:customStyle="1">
    <w:name w:val="Заголовок 7 Знак"/>
    <w:basedOn w:val="850"/>
    <w:link w:val="847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86" w:customStyle="1">
    <w:name w:val="Заголовок 8 Знак"/>
    <w:basedOn w:val="850"/>
    <w:link w:val="84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87" w:customStyle="1">
    <w:name w:val="Заголовок 9 Знак"/>
    <w:basedOn w:val="850"/>
    <w:link w:val="84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88">
    <w:name w:val="Title"/>
    <w:basedOn w:val="840"/>
    <w:next w:val="840"/>
    <w:link w:val="98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89" w:customStyle="1">
    <w:name w:val="Заголовок Знак"/>
    <w:basedOn w:val="850"/>
    <w:link w:val="98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90">
    <w:name w:val="Subtitle"/>
    <w:basedOn w:val="840"/>
    <w:next w:val="840"/>
    <w:link w:val="99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91" w:customStyle="1">
    <w:name w:val="Подзаголовок Знак"/>
    <w:basedOn w:val="850"/>
    <w:link w:val="99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92">
    <w:name w:val="Quote"/>
    <w:basedOn w:val="840"/>
    <w:next w:val="840"/>
    <w:link w:val="99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93" w:customStyle="1">
    <w:name w:val="Цитата 2 Знак"/>
    <w:basedOn w:val="850"/>
    <w:link w:val="992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994">
    <w:name w:val="List Paragraph"/>
    <w:basedOn w:val="840"/>
    <w:uiPriority w:val="34"/>
    <w:qFormat/>
    <w:pPr>
      <w:pBdr/>
      <w:spacing/>
      <w:ind w:left="720"/>
      <w:contextualSpacing w:val="true"/>
    </w:pPr>
  </w:style>
  <w:style w:type="character" w:styleId="995">
    <w:name w:val="Intense Emphasis"/>
    <w:basedOn w:val="850"/>
    <w:uiPriority w:val="21"/>
    <w:qFormat/>
    <w:pPr>
      <w:pBdr/>
      <w:spacing/>
      <w:ind/>
    </w:pPr>
    <w:rPr>
      <w:i/>
      <w:iCs/>
      <w:color w:val="365f91" w:themeColor="accent1" w:themeShade="BF"/>
    </w:rPr>
  </w:style>
  <w:style w:type="paragraph" w:styleId="996">
    <w:name w:val="Intense Quote"/>
    <w:basedOn w:val="840"/>
    <w:next w:val="840"/>
    <w:link w:val="997"/>
    <w:uiPriority w:val="30"/>
    <w:qFormat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after="360" w:before="360"/>
      <w:ind w:right="864" w:left="864"/>
      <w:jc w:val="center"/>
    </w:pPr>
    <w:rPr>
      <w:i/>
      <w:iCs/>
      <w:color w:val="365f91" w:themeColor="accent1" w:themeShade="BF"/>
    </w:rPr>
  </w:style>
  <w:style w:type="character" w:styleId="997" w:customStyle="1">
    <w:name w:val="Выделенная цитата Знак"/>
    <w:basedOn w:val="850"/>
    <w:link w:val="996"/>
    <w:uiPriority w:val="30"/>
    <w:pPr>
      <w:pBdr/>
      <w:spacing/>
      <w:ind/>
    </w:pPr>
    <w:rPr>
      <w:i/>
      <w:iCs/>
      <w:color w:val="365f91" w:themeColor="accent1" w:themeShade="BF"/>
    </w:rPr>
  </w:style>
  <w:style w:type="character" w:styleId="998">
    <w:name w:val="Intense Reference"/>
    <w:basedOn w:val="850"/>
    <w:uiPriority w:val="32"/>
    <w:qFormat/>
    <w:pPr>
      <w:pBdr/>
      <w:spacing/>
      <w:ind/>
    </w:pPr>
    <w:rPr>
      <w:b/>
      <w:bCs/>
      <w:smallCaps/>
      <w:color w:val="365f91" w:themeColor="accent1" w:themeShade="BF"/>
      <w:spacing w:val="5"/>
    </w:rPr>
  </w:style>
  <w:style w:type="paragraph" w:styleId="999">
    <w:name w:val="No Spacing"/>
    <w:basedOn w:val="840"/>
    <w:uiPriority w:val="1"/>
    <w:qFormat/>
    <w:pPr>
      <w:pBdr/>
      <w:spacing w:after="0" w:line="240" w:lineRule="auto"/>
      <w:ind/>
    </w:pPr>
  </w:style>
  <w:style w:type="character" w:styleId="1000">
    <w:name w:val="Subtle Emphasis"/>
    <w:basedOn w:val="85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001">
    <w:name w:val="Emphasis"/>
    <w:basedOn w:val="850"/>
    <w:uiPriority w:val="20"/>
    <w:qFormat/>
    <w:pPr>
      <w:pBdr/>
      <w:spacing/>
      <w:ind/>
    </w:pPr>
    <w:rPr>
      <w:i/>
      <w:iCs/>
    </w:rPr>
  </w:style>
  <w:style w:type="character" w:styleId="1002">
    <w:name w:val="Strong"/>
    <w:basedOn w:val="850"/>
    <w:uiPriority w:val="22"/>
    <w:qFormat/>
    <w:pPr>
      <w:pBdr/>
      <w:spacing/>
      <w:ind/>
    </w:pPr>
    <w:rPr>
      <w:b/>
      <w:bCs/>
    </w:rPr>
  </w:style>
  <w:style w:type="character" w:styleId="1003">
    <w:name w:val="Subtle Reference"/>
    <w:basedOn w:val="85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004">
    <w:name w:val="Book Title"/>
    <w:basedOn w:val="850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005">
    <w:name w:val="Header"/>
    <w:basedOn w:val="840"/>
    <w:link w:val="1031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  <w:rPr>
      <w:sz w:val="20"/>
      <w:szCs w:val="20"/>
      <w:lang w:val="en-US"/>
    </w:rPr>
  </w:style>
  <w:style w:type="character" w:styleId="1006" w:customStyle="1">
    <w:name w:val="Header Char"/>
    <w:basedOn w:val="850"/>
    <w:uiPriority w:val="99"/>
    <w:pPr>
      <w:pBdr/>
      <w:spacing/>
      <w:ind/>
    </w:pPr>
  </w:style>
  <w:style w:type="paragraph" w:styleId="1007">
    <w:name w:val="Footer"/>
    <w:basedOn w:val="840"/>
    <w:link w:val="103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1008" w:customStyle="1">
    <w:name w:val="Footer Char"/>
    <w:basedOn w:val="850"/>
    <w:uiPriority w:val="99"/>
    <w:pPr>
      <w:pBdr/>
      <w:spacing/>
      <w:ind/>
    </w:pPr>
  </w:style>
  <w:style w:type="paragraph" w:styleId="1009">
    <w:name w:val="Caption"/>
    <w:basedOn w:val="840"/>
    <w:next w:val="840"/>
    <w:uiPriority w:val="35"/>
    <w:unhideWhenUsed/>
    <w:qFormat/>
    <w:pPr>
      <w:pBdr/>
      <w:spacing w:line="240" w:lineRule="auto"/>
      <w:ind/>
    </w:pPr>
    <w:rPr>
      <w:i/>
      <w:iCs/>
      <w:color w:val="1f497d" w:themeColor="text2"/>
      <w:sz w:val="18"/>
      <w:szCs w:val="18"/>
    </w:rPr>
  </w:style>
  <w:style w:type="paragraph" w:styleId="1010">
    <w:name w:val="footnote text"/>
    <w:basedOn w:val="840"/>
    <w:link w:val="101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011" w:customStyle="1">
    <w:name w:val="Текст сноски Знак"/>
    <w:basedOn w:val="850"/>
    <w:link w:val="1010"/>
    <w:uiPriority w:val="99"/>
    <w:semiHidden/>
    <w:pPr>
      <w:pBdr/>
      <w:spacing/>
      <w:ind/>
    </w:pPr>
    <w:rPr>
      <w:sz w:val="20"/>
      <w:szCs w:val="20"/>
    </w:rPr>
  </w:style>
  <w:style w:type="character" w:styleId="1012">
    <w:name w:val="footnote reference"/>
    <w:basedOn w:val="850"/>
    <w:uiPriority w:val="99"/>
    <w:semiHidden/>
    <w:unhideWhenUsed/>
    <w:pPr>
      <w:pBdr/>
      <w:spacing/>
      <w:ind/>
    </w:pPr>
    <w:rPr>
      <w:vertAlign w:val="superscript"/>
    </w:rPr>
  </w:style>
  <w:style w:type="paragraph" w:styleId="1013">
    <w:name w:val="endnote text"/>
    <w:basedOn w:val="840"/>
    <w:link w:val="101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014" w:customStyle="1">
    <w:name w:val="Текст концевой сноски Знак"/>
    <w:basedOn w:val="850"/>
    <w:link w:val="1013"/>
    <w:uiPriority w:val="99"/>
    <w:semiHidden/>
    <w:pPr>
      <w:pBdr/>
      <w:spacing/>
      <w:ind/>
    </w:pPr>
    <w:rPr>
      <w:sz w:val="20"/>
      <w:szCs w:val="20"/>
    </w:rPr>
  </w:style>
  <w:style w:type="character" w:styleId="1015">
    <w:name w:val="endnote reference"/>
    <w:basedOn w:val="850"/>
    <w:uiPriority w:val="99"/>
    <w:semiHidden/>
    <w:unhideWhenUsed/>
    <w:pPr>
      <w:pBdr/>
      <w:spacing/>
      <w:ind/>
    </w:pPr>
    <w:rPr>
      <w:vertAlign w:val="superscript"/>
    </w:rPr>
  </w:style>
  <w:style w:type="character" w:styleId="1016">
    <w:name w:val="Hyperlink"/>
    <w:basedOn w:val="850"/>
    <w:uiPriority w:val="99"/>
    <w:unhideWhenUsed/>
    <w:pPr>
      <w:pBdr/>
      <w:spacing/>
      <w:ind/>
    </w:pPr>
    <w:rPr>
      <w:color w:val="0000ff" w:themeColor="hyperlink"/>
      <w:u w:val="single"/>
    </w:rPr>
  </w:style>
  <w:style w:type="character" w:styleId="1017">
    <w:name w:val="FollowedHyperlink"/>
    <w:basedOn w:val="850"/>
    <w:uiPriority w:val="99"/>
    <w:semiHidden/>
    <w:unhideWhenUsed/>
    <w:pPr>
      <w:pBdr/>
      <w:spacing/>
      <w:ind/>
    </w:pPr>
    <w:rPr>
      <w:color w:val="800080" w:themeColor="followedHyperlink"/>
      <w:u w:val="single"/>
    </w:rPr>
  </w:style>
  <w:style w:type="paragraph" w:styleId="1018">
    <w:name w:val="toc 1"/>
    <w:basedOn w:val="840"/>
    <w:next w:val="840"/>
    <w:uiPriority w:val="39"/>
    <w:unhideWhenUsed/>
    <w:pPr>
      <w:pBdr/>
      <w:spacing w:after="100"/>
      <w:ind/>
    </w:pPr>
  </w:style>
  <w:style w:type="paragraph" w:styleId="1019">
    <w:name w:val="toc 2"/>
    <w:basedOn w:val="840"/>
    <w:next w:val="840"/>
    <w:uiPriority w:val="39"/>
    <w:unhideWhenUsed/>
    <w:pPr>
      <w:pBdr/>
      <w:spacing w:after="100"/>
      <w:ind w:left="220"/>
    </w:pPr>
  </w:style>
  <w:style w:type="paragraph" w:styleId="1020">
    <w:name w:val="toc 3"/>
    <w:basedOn w:val="840"/>
    <w:next w:val="840"/>
    <w:uiPriority w:val="39"/>
    <w:unhideWhenUsed/>
    <w:pPr>
      <w:pBdr/>
      <w:spacing w:after="100"/>
      <w:ind w:left="440"/>
    </w:pPr>
  </w:style>
  <w:style w:type="paragraph" w:styleId="1021">
    <w:name w:val="toc 4"/>
    <w:basedOn w:val="840"/>
    <w:next w:val="840"/>
    <w:uiPriority w:val="39"/>
    <w:unhideWhenUsed/>
    <w:pPr>
      <w:pBdr/>
      <w:spacing w:after="100"/>
      <w:ind w:left="660"/>
    </w:pPr>
  </w:style>
  <w:style w:type="paragraph" w:styleId="1022">
    <w:name w:val="toc 5"/>
    <w:basedOn w:val="840"/>
    <w:next w:val="840"/>
    <w:uiPriority w:val="39"/>
    <w:unhideWhenUsed/>
    <w:pPr>
      <w:pBdr/>
      <w:spacing w:after="100"/>
      <w:ind w:left="880"/>
    </w:pPr>
  </w:style>
  <w:style w:type="paragraph" w:styleId="1023">
    <w:name w:val="toc 6"/>
    <w:basedOn w:val="840"/>
    <w:next w:val="840"/>
    <w:uiPriority w:val="39"/>
    <w:unhideWhenUsed/>
    <w:pPr>
      <w:pBdr/>
      <w:spacing w:after="100"/>
      <w:ind w:left="1100"/>
    </w:pPr>
  </w:style>
  <w:style w:type="paragraph" w:styleId="1024">
    <w:name w:val="toc 7"/>
    <w:basedOn w:val="840"/>
    <w:next w:val="840"/>
    <w:uiPriority w:val="39"/>
    <w:unhideWhenUsed/>
    <w:pPr>
      <w:pBdr/>
      <w:spacing w:after="100"/>
      <w:ind w:left="1320"/>
    </w:pPr>
  </w:style>
  <w:style w:type="paragraph" w:styleId="1025">
    <w:name w:val="toc 8"/>
    <w:basedOn w:val="840"/>
    <w:next w:val="840"/>
    <w:uiPriority w:val="39"/>
    <w:unhideWhenUsed/>
    <w:pPr>
      <w:pBdr/>
      <w:spacing w:after="100"/>
      <w:ind w:left="1540"/>
    </w:pPr>
  </w:style>
  <w:style w:type="paragraph" w:styleId="1026">
    <w:name w:val="toc 9"/>
    <w:basedOn w:val="840"/>
    <w:next w:val="840"/>
    <w:uiPriority w:val="39"/>
    <w:unhideWhenUsed/>
    <w:pPr>
      <w:pBdr/>
      <w:spacing w:after="100"/>
      <w:ind w:left="1760"/>
    </w:pPr>
  </w:style>
  <w:style w:type="character" w:styleId="1027">
    <w:name w:val="Placeholder Text"/>
    <w:basedOn w:val="850"/>
    <w:uiPriority w:val="99"/>
    <w:semiHidden/>
    <w:pPr>
      <w:pBdr/>
      <w:spacing/>
      <w:ind/>
    </w:pPr>
    <w:rPr>
      <w:color w:val="666666"/>
    </w:rPr>
  </w:style>
  <w:style w:type="paragraph" w:styleId="1028">
    <w:name w:val="TOC Heading"/>
    <w:uiPriority w:val="39"/>
    <w:unhideWhenUsed/>
    <w:pPr>
      <w:pBdr/>
      <w:spacing/>
      <w:ind/>
    </w:pPr>
  </w:style>
  <w:style w:type="paragraph" w:styleId="1029">
    <w:name w:val="table of figures"/>
    <w:basedOn w:val="840"/>
    <w:next w:val="840"/>
    <w:uiPriority w:val="99"/>
    <w:unhideWhenUsed/>
    <w:pPr>
      <w:pBdr/>
      <w:spacing w:after="0"/>
      <w:ind/>
    </w:pPr>
  </w:style>
  <w:style w:type="paragraph" w:styleId="1030" w:customStyle="1">
    <w:name w:val="ConsPlusNormal"/>
    <w:pPr>
      <w:widowControl w:val="false"/>
      <w:pBdr/>
      <w:spacing/>
      <w:ind w:firstLine="720"/>
    </w:pPr>
    <w:rPr>
      <w:rFonts w:ascii="Arial" w:hAnsi="Arial" w:eastAsia="Times New Roman" w:cs="Arial"/>
      <w:lang w:eastAsia="ru-RU"/>
    </w:rPr>
  </w:style>
  <w:style w:type="character" w:styleId="1031" w:customStyle="1">
    <w:name w:val="Верхний колонтитул Знак"/>
    <w:link w:val="1005"/>
    <w:uiPriority w:val="99"/>
    <w:pPr>
      <w:pBdr/>
      <w:spacing/>
      <w:ind/>
    </w:pPr>
    <w:rPr>
      <w:rFonts w:ascii="Calibri" w:hAnsi="Calibri" w:eastAsia="Calibri" w:cs="Times New Roman"/>
    </w:rPr>
  </w:style>
  <w:style w:type="character" w:styleId="1032" w:customStyle="1">
    <w:name w:val="Нижний колонтитул Знак"/>
    <w:basedOn w:val="850"/>
    <w:link w:val="1007"/>
    <w:uiPriority w:val="99"/>
    <w:pPr>
      <w:pBdr/>
      <w:spacing/>
      <w:ind/>
    </w:pPr>
  </w:style>
  <w:style w:type="paragraph" w:styleId="1033">
    <w:name w:val="Balloon Text"/>
    <w:basedOn w:val="840"/>
    <w:link w:val="1034"/>
    <w:uiPriority w:val="99"/>
    <w:semiHidden/>
    <w:unhideWhenUsed/>
    <w:pPr>
      <w:pBdr/>
      <w:spacing w:after="0" w:line="240" w:lineRule="auto"/>
      <w:ind/>
    </w:pPr>
    <w:rPr>
      <w:rFonts w:ascii="Tahoma" w:hAnsi="Tahoma"/>
      <w:sz w:val="16"/>
      <w:szCs w:val="16"/>
      <w:lang w:val="en-US"/>
    </w:rPr>
  </w:style>
  <w:style w:type="character" w:styleId="1034" w:customStyle="1">
    <w:name w:val="Текст выноски Знак"/>
    <w:link w:val="1033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paragraph" w:styleId="1035" w:customStyle="1">
    <w:name w:val="ConsPlusCell"/>
    <w:uiPriority w:val="99"/>
    <w:pPr>
      <w:widowControl w:val="false"/>
      <w:pBdr/>
      <w:spacing/>
      <w:ind/>
    </w:pPr>
    <w:rPr>
      <w:rFonts w:ascii="Arial" w:hAnsi="Arial" w:eastAsia="Times New Roman" w:cs="Arial"/>
      <w:lang w:eastAsia="ru-RU"/>
    </w:rPr>
  </w:style>
  <w:style w:type="paragraph" w:styleId="1036" w:customStyle="1">
    <w:name w:val="ConsPlusNonformat"/>
    <w:pPr>
      <w:pBdr/>
      <w:spacing/>
      <w:ind/>
    </w:pPr>
    <w:rPr>
      <w:rFonts w:ascii="Courier New" w:hAnsi="Courier New" w:eastAsia="Times New Roman" w:cs="Courier New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_rels/header6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revision>9</cp:revision>
  <dcterms:created xsi:type="dcterms:W3CDTF">2025-09-12T09:19:00Z</dcterms:created>
  <dcterms:modified xsi:type="dcterms:W3CDTF">2026-08-26T07:45:11Z</dcterms:modified>
  <cp:version>1048576</cp:version>
</cp:coreProperties>
</file>