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6"/>
        <w:pBdr/>
        <w:spacing w:after="0" w:line="288" w:lineRule="auto"/>
        <w:ind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6"/>
        <w:pBdr/>
        <w:spacing w:after="0" w:line="288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88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88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88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88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_______ 20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6</w:t>
        <w:tab/>
      </w:r>
      <w:r>
        <w:rPr>
          <w:rFonts w:ascii="Times New Roman" w:hAnsi="Times New Roman"/>
          <w:sz w:val="28"/>
          <w:szCs w:val="28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sz w:val="28"/>
          <w:szCs w:val="28"/>
        </w:rPr>
        <w:t xml:space="preserve">№ 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88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tabs>
          <w:tab w:val="left" w:leader="none" w:pos="851"/>
          <w:tab w:val="left" w:leader="none" w:pos="2127"/>
          <w:tab w:val="left" w:leader="none" w:pos="3544"/>
          <w:tab w:val="left" w:leader="none" w:pos="3686"/>
          <w:tab w:val="left" w:leader="none" w:pos="4961"/>
        </w:tabs>
        <w:spacing w:after="0" w:line="288" w:lineRule="auto"/>
        <w:ind w:right="5670" w:firstLine="0" w:left="0"/>
        <w:jc w:val="both"/>
        <w:rPr>
          <w:rFonts w:ascii="Times New Roman" w:hAnsi="Times New Roman"/>
          <w:sz w:val="28"/>
          <w:szCs w:val="28"/>
        </w:rPr>
      </w:pPr>
      <w:r/>
      <w:bookmarkStart w:id="0" w:name="_Hlk18598243"/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внесении изменения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bookmarkStart w:id="1" w:name="_Hlk18594701"/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римерный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перечень муниципальных услуг</w:t>
        <w:br/>
        <w:t xml:space="preserve">(работ), оказываемых (выполняемых) муниципальными учреждениями и учитываемых при формировании межбюджетных отношений в Республике Татарстан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утвержденный</w:t>
        <w:br/>
        <w:t xml:space="preserve">постановлением Кабинета Министров Республики Татарстан от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05.09.2015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638</w:t>
      </w:r>
      <w:bookmarkEnd w:id="0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88" w:lineRule="auto"/>
        <w:ind/>
        <w:jc w:val="both"/>
        <w:rPr>
          <w:rFonts w:ascii="Times New Roman" w:hAnsi="Times New Roman"/>
          <w:sz w:val="28"/>
          <w:szCs w:val="28"/>
        </w:rPr>
      </w:pPr>
      <w:r/>
      <w:bookmarkEnd w:id="1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88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141E7149">
      <w:pPr>
        <w:pStyle w:val="956"/>
        <w:pBdr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римерн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перечень муниципальных услуг (работ), оказываемых (выполняемых) муниципальными учреждениями и учитываемых при формировании межбюджетных отношений в Республике Татарстан</w:t>
      </w:r>
      <w:r>
        <w:rPr>
          <w:rFonts w:ascii="Times New Roman" w:hAnsi="Times New Roman"/>
          <w:sz w:val="28"/>
          <w:szCs w:val="28"/>
        </w:rPr>
        <w:t xml:space="preserve">, утвержденн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  <w:t xml:space="preserve"> Кабинета Министров Республики Татарстан от 05.09.2015 № 638 «Об утверждении Примерного перечня муниципальных услуг (работ), оказываемых (выполняемых) муниципальными учреждениями и учитываемых при формировании межбюджетных отношений в Республике Татарстан»</w:t>
      </w:r>
      <w:r>
        <w:rPr>
          <w:rFonts w:ascii="Times New Roman" w:hAnsi="Times New Roman"/>
          <w:sz w:val="28"/>
          <w:szCs w:val="28"/>
        </w:rPr>
        <w:t xml:space="preserve"> (с изменениями, внесенными постановлениями Кабинета Министров Республики Татарстан </w:t>
      </w:r>
      <w:r>
        <w:rPr>
          <w:rFonts w:ascii="Times New Roman" w:hAnsi="Times New Roman"/>
          <w:sz w:val="28"/>
          <w:szCs w:val="28"/>
        </w:rPr>
        <w:t xml:space="preserve">от 30.12.2015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1020, от 15.04.2016</w:t>
      </w:r>
      <w:r>
        <w:rPr>
          <w:rFonts w:ascii="Times New Roman" w:hAnsi="Times New Roman"/>
          <w:sz w:val="28"/>
          <w:szCs w:val="28"/>
        </w:rPr>
        <w:br/>
        <w:t xml:space="preserve">№</w:t>
      </w:r>
      <w:r>
        <w:rPr>
          <w:rFonts w:ascii="Times New Roman" w:hAnsi="Times New Roman"/>
          <w:sz w:val="28"/>
          <w:szCs w:val="28"/>
        </w:rPr>
        <w:t xml:space="preserve"> 228,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29.12.2016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1029, от 25.03.2017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180, от 27.11.2017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914,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27.12.2017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1062, от 26.11.2018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1053, от 13.12.2018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1128,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28.08.2019</w:t>
      </w:r>
      <w:r>
        <w:rPr>
          <w:rFonts w:ascii="Times New Roman" w:hAnsi="Times New Roman"/>
          <w:sz w:val="28"/>
          <w:szCs w:val="28"/>
        </w:rPr>
        <w:br/>
        <w:t xml:space="preserve">№</w:t>
      </w:r>
      <w:r>
        <w:rPr>
          <w:rFonts w:ascii="Times New Roman" w:hAnsi="Times New Roman"/>
          <w:sz w:val="28"/>
          <w:szCs w:val="28"/>
        </w:rPr>
        <w:t xml:space="preserve"> 734, от 02.11.2019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1002, от 24.04.2020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323,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21.07.2020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612, от 30.12.2020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1249, от 12.07.2021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568,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06.09.2021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823, от 28.10.2021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1010, от 19.05.2022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472,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23.12.2022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1401, от 06.04.2023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422, от 21.09.2023</w:t>
      </w:r>
      <w:r>
        <w:rPr>
          <w:rFonts w:ascii="Times New Roman" w:hAnsi="Times New Roman"/>
          <w:sz w:val="28"/>
          <w:szCs w:val="28"/>
        </w:rPr>
        <w:br/>
        <w:t xml:space="preserve">№</w:t>
      </w:r>
      <w:r>
        <w:rPr>
          <w:rFonts w:ascii="Times New Roman" w:hAnsi="Times New Roman"/>
          <w:sz w:val="28"/>
          <w:szCs w:val="28"/>
        </w:rPr>
        <w:t xml:space="preserve"> 1167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14.03.2024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145</w:t>
      </w:r>
      <w:r>
        <w:rPr>
          <w:rFonts w:ascii="Times New Roman" w:hAnsi="Times New Roman"/>
          <w:sz w:val="28"/>
          <w:szCs w:val="28"/>
        </w:rPr>
        <w:t xml:space="preserve">, о</w:t>
      </w:r>
      <w:r>
        <w:rPr>
          <w:rFonts w:ascii="Times New Roman" w:hAnsi="Times New Roman"/>
          <w:sz w:val="28"/>
          <w:szCs w:val="28"/>
        </w:rPr>
        <w:t xml:space="preserve">т 31.03.2025 № 189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26.05.2025 № 356,</w:t>
      </w:r>
      <w:r>
        <w:rPr>
          <w:rFonts w:ascii="Times New Roman" w:hAnsi="Times New Roman"/>
          <w:sz w:val="28"/>
          <w:szCs w:val="28"/>
        </w:rPr>
        <w:br/>
        <w:t xml:space="preserve">от 16.08.2025 № 617, </w:t>
      </w:r>
      <w:r>
        <w:rPr>
          <w:rFonts w:ascii="Times New Roman" w:hAnsi="Times New Roman"/>
          <w:sz w:val="28"/>
          <w:szCs w:val="28"/>
        </w:rPr>
        <w:t xml:space="preserve">от 15.11.2025 № 953, </w:t>
      </w:r>
      <w:r>
        <w:rPr>
          <w:rFonts w:ascii="Times New Roman" w:hAnsi="Times New Roman"/>
          <w:sz w:val="28"/>
          <w:szCs w:val="28"/>
          <w:highlight w:val="none"/>
        </w:rPr>
        <w:t xml:space="preserve">от 19.01.2026 № 20, </w:t>
      </w:r>
      <w:r>
        <w:rPr>
          <w:rFonts w:ascii="Times New Roman" w:hAnsi="Times New Roman"/>
          <w:sz w:val="28"/>
          <w:szCs w:val="28"/>
          <w:highlight w:val="none"/>
        </w:rPr>
        <w:t xml:space="preserve">от 05.02.2026</w:t>
      </w:r>
      <w:r>
        <w:rPr>
          <w:rFonts w:ascii="Times New Roman" w:hAnsi="Times New Roman"/>
          <w:sz w:val="28"/>
          <w:szCs w:val="28"/>
          <w:highlight w:val="none"/>
        </w:rPr>
        <w:t xml:space="preserve"> № 71, </w:t>
      </w:r>
      <w:r>
        <w:rPr>
          <w:rFonts w:ascii="Times New Roman" w:hAnsi="Times New Roman"/>
          <w:sz w:val="28"/>
          <w:szCs w:val="28"/>
          <w:highlight w:val="none"/>
        </w:rPr>
        <w:t xml:space="preserve">от 10.03.2026</w:t>
      </w:r>
      <w:r>
        <w:rPr>
          <w:rFonts w:ascii="Times New Roman" w:hAnsi="Times New Roman"/>
          <w:sz w:val="28"/>
          <w:szCs w:val="28"/>
          <w:highlight w:val="none"/>
        </w:rPr>
        <w:t xml:space="preserve"> № 189</w:t>
      </w:r>
      <w:r>
        <w:rPr>
          <w:rFonts w:ascii="Times New Roman" w:hAnsi="Times New Roman"/>
          <w:sz w:val="28"/>
          <w:szCs w:val="28"/>
          <w:highlight w:val="none"/>
        </w:rPr>
        <w:t xml:space="preserve">, от 02.06.2026 № 763</w:t>
      </w:r>
      <w:r>
        <w:rPr>
          <w:rFonts w:ascii="Times New Roman" w:hAnsi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/>
          <w:sz w:val="28"/>
          <w:szCs w:val="28"/>
          <w:highlight w:val="none"/>
        </w:rPr>
        <w:t xml:space="preserve"> изменени</w:t>
      </w:r>
      <w:r>
        <w:rPr>
          <w:rFonts w:ascii="Times New Roman" w:hAnsi="Times New Roman"/>
          <w:sz w:val="28"/>
          <w:szCs w:val="28"/>
          <w:highlight w:val="none"/>
        </w:rPr>
        <w:t xml:space="preserve">е, дополнив пункт 47 строкой следующего содержания: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136E94AC">
      <w:pPr>
        <w:pStyle w:val="956"/>
        <w:pBdr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769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76"/>
        <w:gridCol w:w="850"/>
        <w:gridCol w:w="992"/>
        <w:gridCol w:w="1276"/>
        <w:gridCol w:w="992"/>
        <w:gridCol w:w="992"/>
        <w:gridCol w:w="1276"/>
        <w:gridCol w:w="992"/>
        <w:gridCol w:w="1417"/>
        <w:gridCol w:w="1142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" w:type="dxa"/>
            <w:vAlign w:val="top"/>
          </w:tcPr>
          <w:p w14:paraId="38FB8DD8">
            <w:pPr>
              <w:pBdr/>
              <w:spacing w:after="0" w:afterAutospacing="0" w:line="240" w:lineRule="auto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top"/>
          </w:tcPr>
          <w:p w14:paraId="6F9640A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line="240" w:lineRule="auto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«ББ85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top"/>
          </w:tcPr>
          <w:p w14:paraId="1085B02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line="240" w:lineRule="auto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услуга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</w:tcPr>
          <w:p w14:paraId="5B252F4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line="240" w:lineRule="auto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показ кинофильмов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top"/>
          </w:tcPr>
          <w:p w14:paraId="2AB9087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line="240" w:lineRule="auto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место показа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top"/>
          </w:tcPr>
          <w:p w14:paraId="07F3F04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line="240" w:lineRule="auto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выбор</w:t>
              <w:br/>
              <w:t xml:space="preserve">из ОБПУ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top"/>
          </w:tcPr>
          <w:p w14:paraId="5ED3FBE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line="240" w:lineRule="auto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способ обслуживания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top"/>
          </w:tcPr>
          <w:p w14:paraId="56D6E92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line="240" w:lineRule="auto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выбор</w:t>
              <w:br/>
              <w:t xml:space="preserve">из ОБПУ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top"/>
          </w:tcPr>
          <w:p w14:paraId="7908809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line="240" w:lineRule="auto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культура и кинематография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2" w:type="dxa"/>
            <w:vAlign w:val="top"/>
          </w:tcPr>
          <w:p w14:paraId="5574545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afterAutospacing="0" w:before="0" w:line="240" w:lineRule="auto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выбор из ОБПУ».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 w14:paraId="14878E90">
      <w:pPr>
        <w:pStyle w:val="956"/>
        <w:pBdr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715E9739">
      <w:pPr>
        <w:pStyle w:val="956"/>
        <w:pBdr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6"/>
        <w:pBdr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6"/>
        <w:pBdr/>
        <w:spacing w:after="0" w:line="288" w:lineRule="auto"/>
        <w:ind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6"/>
        <w:pBdr/>
        <w:spacing w:after="0" w:line="288" w:lineRule="auto"/>
        <w:ind/>
        <w:jc w:val="both"/>
        <w:rPr>
          <w:rFonts w:ascii="Times New Roman" w:hAnsi="Times New Roman"/>
          <w:sz w:val="28"/>
          <w:szCs w:val="28"/>
        </w:rPr>
        <w:sectPr>
          <w:headerReference w:type="default" r:id="rId9"/>
          <w:headerReference w:type="first" r:id="rId10"/>
          <w:footnotePr/>
          <w:endnotePr/>
          <w:type w:val="nextPage"/>
          <w:pgSz w:h="16838" w:orient="portrait" w:w="11906"/>
          <w:pgMar w:top="1134" w:right="567" w:bottom="1134" w:left="1134" w:header="709" w:footer="130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А.В. Песошин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88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6"/>
        <w:pBdr/>
        <w:spacing w:after="0" w:line="288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6"/>
        <w:pBdr/>
        <w:spacing w:after="0" w:line="288" w:lineRule="auto"/>
        <w:ind/>
        <w:contextualSpacing w:val="tru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</w:t>
      </w:r>
      <w:r>
        <w:rPr>
          <w:rFonts w:ascii="Times New Roman" w:hAnsi="Times New Roman"/>
          <w:b/>
          <w:sz w:val="28"/>
          <w:szCs w:val="28"/>
        </w:rPr>
        <w:t xml:space="preserve">О внесении изменен</w:t>
      </w:r>
      <w:r>
        <w:rPr>
          <w:rFonts w:ascii="Times New Roman" w:hAnsi="Times New Roman"/>
          <w:b/>
          <w:sz w:val="28"/>
          <w:szCs w:val="28"/>
        </w:rPr>
        <w:t xml:space="preserve">ия в примерный перечень муниципальных услуг (работ), оказываемых (выполняемых) муниципальными учреждениями и учитываемых при формировании межбюджетных отношений в Республике Татарстан, утвержденный постановлением</w:t>
      </w:r>
      <w:r>
        <w:rPr>
          <w:rFonts w:ascii="Times New Roman" w:hAnsi="Times New Roman"/>
          <w:b/>
          <w:sz w:val="28"/>
          <w:szCs w:val="28"/>
        </w:rPr>
        <w:t xml:space="preserve"> Кабинета Министров Республики Татарстан от 05.09.2015 № 638»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6"/>
        <w:pBdr/>
        <w:spacing w:after="0" w:line="288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1E6F4ED1">
      <w:pPr>
        <w:pBdr/>
        <w:spacing w:after="0" w:line="288" w:lineRule="auto"/>
        <w:ind w:firstLine="709"/>
        <w:jc w:val="both"/>
        <w:rPr>
          <w:rFonts w:ascii="Times New Roman" w:hAnsi="Times New Roman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/>
          <w:sz w:val="28"/>
          <w:szCs w:val="28"/>
        </w:rPr>
        <w:t xml:space="preserve">О внесении изменения в примерный перечень муниципальных услуг (работ), оказываемых (выполняемых) муниципальными учреждениями и учитываемых при формировании межбюджетных отношений в Республике Татарстан, утвержденный постановлением</w:t>
      </w:r>
      <w:r>
        <w:rPr>
          <w:rFonts w:ascii="Times New Roman" w:hAnsi="Times New Roman"/>
          <w:sz w:val="28"/>
          <w:szCs w:val="28"/>
        </w:rPr>
        <w:t xml:space="preserve"> Кабинета Министров Республики Татарстан от 05.09.2015</w:t>
        <w:br/>
        <w:t xml:space="preserve">№ 638» </w:t>
      </w:r>
      <w:r>
        <w:rPr>
          <w:rFonts w:ascii="Times New Roman" w:hAnsi="Times New Roman"/>
          <w:sz w:val="28"/>
          <w:szCs w:val="28"/>
        </w:rPr>
        <w:t xml:space="preserve">(далее – Примерный перечень) </w:t>
      </w:r>
      <w:r>
        <w:rPr>
          <w:rFonts w:ascii="Times New Roman" w:hAnsi="Times New Roman"/>
          <w:sz w:val="28"/>
          <w:szCs w:val="28"/>
        </w:rPr>
        <w:t xml:space="preserve">раз</w:t>
      </w:r>
      <w:r>
        <w:rPr>
          <w:rFonts w:ascii="Times New Roman" w:hAnsi="Times New Roman"/>
          <w:sz w:val="28"/>
          <w:szCs w:val="28"/>
        </w:rPr>
        <w:t xml:space="preserve">работан государственным бюджетным учреждением «Центр экономических и социальных исследований Респуб</w:t>
      </w:r>
      <w:r>
        <w:rPr>
          <w:rFonts w:ascii="Times New Roman" w:hAnsi="Times New Roman"/>
          <w:sz w:val="28"/>
          <w:szCs w:val="28"/>
        </w:rPr>
        <w:t xml:space="preserve">лики Татарстан при Кабинете Министров Республики Татарстан»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соответствии с обращением</w:t>
      </w:r>
      <w:r>
        <w:rPr>
          <w:rFonts w:ascii="Times New Roman" w:hAnsi="Times New Roman"/>
          <w:sz w:val="28"/>
          <w:szCs w:val="28"/>
        </w:rPr>
        <w:t xml:space="preserve"> исполнительного комитета города Иннополис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23.07.2026</w:t>
      </w:r>
      <w:r>
        <w:rPr>
          <w:rFonts w:ascii="Times New Roman" w:hAnsi="Times New Roman"/>
          <w:sz w:val="28"/>
          <w:szCs w:val="28"/>
        </w:rPr>
        <w:br/>
        <w:t xml:space="preserve">№ </w:t>
      </w:r>
      <w:r>
        <w:rPr>
          <w:rFonts w:ascii="Times New Roman" w:hAnsi="Times New Roman"/>
          <w:sz w:val="28"/>
          <w:szCs w:val="28"/>
        </w:rPr>
        <w:t xml:space="preserve">02/26/283</w:t>
      </w:r>
      <w:r>
        <w:rPr>
          <w:rFonts w:ascii="Times New Roman" w:hAnsi="Times New Roman"/>
          <w:sz w:val="28"/>
          <w:szCs w:val="28"/>
          <w:lang w:val="ru-RU"/>
        </w:rPr>
        <w:t xml:space="preserve"> по вопросу дополнения Примерного перечня дополнительной услугой в целях корректировки муниципального задания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автономного учреждения «Дирекция общественных пространств города Иннополис»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14:ligatures w14:val="none"/>
        </w:rPr>
      </w:r>
    </w:p>
    <w:p w14:paraId="6D238EC8">
      <w:pPr>
        <w:pBdr/>
        <w:spacing w:after="0" w:line="288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Проектом постановления вносится изменение в </w:t>
      </w:r>
      <w:r>
        <w:rPr>
          <w:rFonts w:ascii="Times New Roman" w:hAnsi="Times New Roman"/>
          <w:sz w:val="28"/>
          <w:szCs w:val="28"/>
          <w:highlight w:val="none"/>
        </w:rPr>
        <w:t xml:space="preserve">п. 47 </w:t>
      </w:r>
      <w:r>
        <w:rPr>
          <w:rFonts w:ascii="Times New Roman" w:hAnsi="Times New Roman"/>
          <w:sz w:val="28"/>
          <w:szCs w:val="28"/>
          <w:highlight w:val="none"/>
        </w:rPr>
        <w:t xml:space="preserve">Примерного перечня в части </w:t>
      </w:r>
      <w:r>
        <w:rPr>
          <w:rFonts w:ascii="Times New Roman" w:hAnsi="Times New Roman"/>
          <w:sz w:val="28"/>
          <w:szCs w:val="28"/>
          <w:highlight w:val="none"/>
        </w:rPr>
        <w:t xml:space="preserve">дополнения услугой «</w:t>
      </w:r>
      <w:r>
        <w:rPr>
          <w:rFonts w:ascii="Times New Roman" w:hAnsi="Times New Roman"/>
          <w:sz w:val="28"/>
          <w:szCs w:val="28"/>
          <w:highlight w:val="none"/>
        </w:rPr>
        <w:t xml:space="preserve">Показ кинофильмов»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pStyle w:val="956"/>
        <w:pBdr/>
        <w:spacing w:after="0" w:line="288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>
      <w:pPr>
        <w:pStyle w:val="956"/>
        <w:pBdr/>
        <w:spacing w:after="0" w:line="288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 </w:t>
      </w:r>
      <w:r>
        <w:rPr>
          <w:rFonts w:ascii="Times New Roman" w:hAnsi="Times New Roman"/>
          <w:sz w:val="28"/>
          <w:szCs w:val="28"/>
          <w:highlight w:val="none"/>
        </w:rPr>
        <w:t xml:space="preserve">отсутствует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/>
    </w:p>
    <w:p>
      <w:pPr>
        <w:pStyle w:val="956"/>
        <w:pBdr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6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567" w:bottom="1134" w:left="1418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  <w:pBdr/>
      <w:spacing/>
      <w:ind/>
      <w:jc w:val="center"/>
      <w:rPr/>
    </w:pPr>
    <w:r/>
    <w:r/>
  </w:p>
  <w:p>
    <w:pPr>
      <w:pStyle w:val="96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8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5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36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43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46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540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lvl w:ilvl="0">
      <w:isLgl w:val="false"/>
      <w:lvlJc w:val="left"/>
      <w:lvlText w:val="%1"/>
      <w:numFmt w:val="decimal"/>
      <w:pPr>
        <w:pBdr/>
        <w:spacing/>
        <w:ind w:hanging="360" w:left="1211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10"/>
  </w:num>
  <w:num w:numId="7">
    <w:abstractNumId w:val="7"/>
  </w:num>
  <w:num w:numId="8">
    <w:abstractNumId w:val="16"/>
  </w:num>
  <w:num w:numId="9">
    <w:abstractNumId w:val="11"/>
  </w:num>
  <w:num w:numId="10">
    <w:abstractNumId w:val="12"/>
  </w:num>
  <w:num w:numId="11">
    <w:abstractNumId w:val="17"/>
  </w:num>
  <w:num w:numId="12">
    <w:abstractNumId w:val="2"/>
  </w:num>
  <w:num w:numId="13">
    <w:abstractNumId w:val="0"/>
  </w:num>
  <w:num w:numId="14">
    <w:abstractNumId w:val="18"/>
  </w:num>
  <w:num w:numId="15">
    <w:abstractNumId w:val="8"/>
  </w:num>
  <w:num w:numId="16">
    <w:abstractNumId w:val="1"/>
  </w:num>
  <w:num w:numId="17">
    <w:abstractNumId w:val="15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7">
    <w:name w:val="Placeholder Text"/>
    <w:basedOn w:val="904"/>
    <w:uiPriority w:val="99"/>
    <w:semiHidden/>
    <w:pPr>
      <w:pBdr/>
      <w:spacing/>
      <w:ind/>
    </w:pPr>
    <w:rPr>
      <w:color w:val="666666"/>
    </w:rPr>
  </w:style>
  <w:style w:type="table" w:styleId="76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Table Grid"/>
    <w:basedOn w:val="7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Table Grid Light"/>
    <w:basedOn w:val="7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1"/>
    <w:basedOn w:val="7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Plain Table 2"/>
    <w:basedOn w:val="7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Plain Table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1 Light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1 Light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2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2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3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3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"/>
    <w:basedOn w:val="7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1"/>
    <w:basedOn w:val="7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2"/>
    <w:basedOn w:val="7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 - Accent 3"/>
    <w:basedOn w:val="7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4 - Accent 4"/>
    <w:basedOn w:val="7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4 - Accent 5"/>
    <w:basedOn w:val="7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 - Accent 6"/>
    <w:basedOn w:val="7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5 Dark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5 Dark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6 Colorful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6 Colorful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7 Colorful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7 Colorful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1 Light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1 Light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2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2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3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3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4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4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5 Dark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5 Dark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6 Colorful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6 Colorful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7 Colorful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7 Colorful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1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2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ned - Accent 3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ned - Accent 4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ned - Accent 5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ned - Accent 6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1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2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&amp; Lined - Accent 3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&amp; Lined - Accent 4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&amp; Lined - Accent 5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&amp; Lined - Accent 6"/>
    <w:basedOn w:val="7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1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2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- Accent 3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- Accent 4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- Accent 5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- Accent 6"/>
    <w:basedOn w:val="7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5">
    <w:name w:val="Heading 1"/>
    <w:basedOn w:val="956"/>
    <w:next w:val="956"/>
    <w:link w:val="90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6">
    <w:name w:val="Heading 2"/>
    <w:basedOn w:val="956"/>
    <w:next w:val="956"/>
    <w:link w:val="90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7">
    <w:name w:val="Heading 3"/>
    <w:basedOn w:val="956"/>
    <w:next w:val="956"/>
    <w:link w:val="90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8">
    <w:name w:val="Heading 4"/>
    <w:basedOn w:val="956"/>
    <w:next w:val="956"/>
    <w:link w:val="90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9">
    <w:name w:val="Heading 5"/>
    <w:basedOn w:val="956"/>
    <w:next w:val="956"/>
    <w:link w:val="91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00">
    <w:name w:val="Heading 6"/>
    <w:basedOn w:val="956"/>
    <w:next w:val="956"/>
    <w:link w:val="91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01">
    <w:name w:val="Heading 7"/>
    <w:basedOn w:val="956"/>
    <w:next w:val="956"/>
    <w:link w:val="91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02">
    <w:name w:val="Heading 8"/>
    <w:basedOn w:val="956"/>
    <w:next w:val="956"/>
    <w:link w:val="91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3">
    <w:name w:val="Heading 9"/>
    <w:basedOn w:val="956"/>
    <w:next w:val="956"/>
    <w:link w:val="91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4" w:default="1">
    <w:name w:val="Default Paragraph Font"/>
    <w:uiPriority w:val="1"/>
    <w:semiHidden/>
    <w:unhideWhenUsed/>
    <w:pPr>
      <w:pBdr/>
      <w:spacing/>
      <w:ind/>
    </w:pPr>
  </w:style>
  <w:style w:type="numbering" w:styleId="905" w:default="1">
    <w:name w:val="No List"/>
    <w:uiPriority w:val="99"/>
    <w:semiHidden/>
    <w:unhideWhenUsed/>
    <w:pPr>
      <w:pBdr/>
      <w:spacing/>
      <w:ind/>
    </w:pPr>
  </w:style>
  <w:style w:type="character" w:styleId="906">
    <w:name w:val="Heading 1 Char"/>
    <w:basedOn w:val="904"/>
    <w:link w:val="8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7">
    <w:name w:val="Heading 2 Char"/>
    <w:basedOn w:val="904"/>
    <w:link w:val="8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8">
    <w:name w:val="Heading 3 Char"/>
    <w:basedOn w:val="904"/>
    <w:link w:val="8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9">
    <w:name w:val="Heading 4 Char"/>
    <w:basedOn w:val="904"/>
    <w:link w:val="89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10">
    <w:name w:val="Heading 5 Char"/>
    <w:basedOn w:val="904"/>
    <w:link w:val="8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11">
    <w:name w:val="Heading 6 Char"/>
    <w:basedOn w:val="904"/>
    <w:link w:val="90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2">
    <w:name w:val="Heading 7 Char"/>
    <w:basedOn w:val="904"/>
    <w:link w:val="90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3">
    <w:name w:val="Heading 8 Char"/>
    <w:basedOn w:val="904"/>
    <w:link w:val="90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4">
    <w:name w:val="Heading 9 Char"/>
    <w:basedOn w:val="904"/>
    <w:link w:val="90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5">
    <w:name w:val="Title"/>
    <w:basedOn w:val="956"/>
    <w:next w:val="956"/>
    <w:link w:val="91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6">
    <w:name w:val="Title Char"/>
    <w:basedOn w:val="904"/>
    <w:link w:val="91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7">
    <w:name w:val="Subtitle"/>
    <w:basedOn w:val="956"/>
    <w:next w:val="956"/>
    <w:link w:val="91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8">
    <w:name w:val="Subtitle Char"/>
    <w:basedOn w:val="904"/>
    <w:link w:val="91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9">
    <w:name w:val="Quote"/>
    <w:basedOn w:val="956"/>
    <w:next w:val="956"/>
    <w:link w:val="92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0">
    <w:name w:val="Quote Char"/>
    <w:basedOn w:val="904"/>
    <w:link w:val="91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1">
    <w:name w:val="List Paragraph"/>
    <w:basedOn w:val="956"/>
    <w:uiPriority w:val="34"/>
    <w:qFormat/>
    <w:pPr>
      <w:pBdr/>
      <w:spacing/>
      <w:ind w:left="720"/>
      <w:contextualSpacing w:val="true"/>
    </w:pPr>
  </w:style>
  <w:style w:type="character" w:styleId="922">
    <w:name w:val="Intense Emphasis"/>
    <w:basedOn w:val="90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3">
    <w:name w:val="Intense Quote"/>
    <w:basedOn w:val="956"/>
    <w:next w:val="956"/>
    <w:link w:val="92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4">
    <w:name w:val="Intense Quote Char"/>
    <w:basedOn w:val="904"/>
    <w:link w:val="92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5">
    <w:name w:val="Intense Reference"/>
    <w:basedOn w:val="90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6">
    <w:name w:val="No Spacing"/>
    <w:basedOn w:val="956"/>
    <w:uiPriority w:val="1"/>
    <w:qFormat/>
    <w:pPr>
      <w:pBdr/>
      <w:spacing w:after="0" w:line="240" w:lineRule="auto"/>
      <w:ind/>
    </w:pPr>
  </w:style>
  <w:style w:type="character" w:styleId="927">
    <w:name w:val="Subtle Emphasis"/>
    <w:basedOn w:val="90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8">
    <w:name w:val="Emphasis"/>
    <w:basedOn w:val="904"/>
    <w:uiPriority w:val="20"/>
    <w:qFormat/>
    <w:pPr>
      <w:pBdr/>
      <w:spacing/>
      <w:ind/>
    </w:pPr>
    <w:rPr>
      <w:i/>
      <w:iCs/>
    </w:rPr>
  </w:style>
  <w:style w:type="character" w:styleId="929">
    <w:name w:val="Strong"/>
    <w:basedOn w:val="904"/>
    <w:uiPriority w:val="22"/>
    <w:qFormat/>
    <w:pPr>
      <w:pBdr/>
      <w:spacing/>
      <w:ind/>
    </w:pPr>
    <w:rPr>
      <w:b/>
      <w:bCs/>
    </w:rPr>
  </w:style>
  <w:style w:type="character" w:styleId="930">
    <w:name w:val="Subtle Reference"/>
    <w:basedOn w:val="90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1">
    <w:name w:val="Book Title"/>
    <w:basedOn w:val="90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32">
    <w:name w:val="Header"/>
    <w:basedOn w:val="956"/>
    <w:link w:val="93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3">
    <w:name w:val="Header Char"/>
    <w:basedOn w:val="904"/>
    <w:link w:val="932"/>
    <w:uiPriority w:val="99"/>
    <w:pPr>
      <w:pBdr/>
      <w:spacing/>
      <w:ind/>
    </w:pPr>
  </w:style>
  <w:style w:type="paragraph" w:styleId="934">
    <w:name w:val="Footer"/>
    <w:basedOn w:val="956"/>
    <w:link w:val="93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5">
    <w:name w:val="Footer Char"/>
    <w:basedOn w:val="904"/>
    <w:link w:val="934"/>
    <w:uiPriority w:val="99"/>
    <w:pPr>
      <w:pBdr/>
      <w:spacing/>
      <w:ind/>
    </w:pPr>
  </w:style>
  <w:style w:type="paragraph" w:styleId="936">
    <w:name w:val="Caption"/>
    <w:basedOn w:val="956"/>
    <w:next w:val="95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37">
    <w:name w:val="footnote text"/>
    <w:basedOn w:val="956"/>
    <w:link w:val="93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8">
    <w:name w:val="Footnote Text Char"/>
    <w:basedOn w:val="904"/>
    <w:link w:val="937"/>
    <w:uiPriority w:val="99"/>
    <w:semiHidden/>
    <w:pPr>
      <w:pBdr/>
      <w:spacing/>
      <w:ind/>
    </w:pPr>
    <w:rPr>
      <w:sz w:val="20"/>
      <w:szCs w:val="20"/>
    </w:rPr>
  </w:style>
  <w:style w:type="character" w:styleId="939">
    <w:name w:val="footnote reference"/>
    <w:basedOn w:val="904"/>
    <w:uiPriority w:val="99"/>
    <w:semiHidden/>
    <w:unhideWhenUsed/>
    <w:pPr>
      <w:pBdr/>
      <w:spacing/>
      <w:ind/>
    </w:pPr>
    <w:rPr>
      <w:vertAlign w:val="superscript"/>
    </w:rPr>
  </w:style>
  <w:style w:type="paragraph" w:styleId="940">
    <w:name w:val="endnote text"/>
    <w:basedOn w:val="956"/>
    <w:link w:val="94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1">
    <w:name w:val="Endnote Text Char"/>
    <w:basedOn w:val="904"/>
    <w:link w:val="940"/>
    <w:uiPriority w:val="99"/>
    <w:semiHidden/>
    <w:pPr>
      <w:pBdr/>
      <w:spacing/>
      <w:ind/>
    </w:pPr>
    <w:rPr>
      <w:sz w:val="20"/>
      <w:szCs w:val="20"/>
    </w:rPr>
  </w:style>
  <w:style w:type="character" w:styleId="942">
    <w:name w:val="endnote reference"/>
    <w:basedOn w:val="904"/>
    <w:uiPriority w:val="99"/>
    <w:semiHidden/>
    <w:unhideWhenUsed/>
    <w:pPr>
      <w:pBdr/>
      <w:spacing/>
      <w:ind/>
    </w:pPr>
    <w:rPr>
      <w:vertAlign w:val="superscript"/>
    </w:rPr>
  </w:style>
  <w:style w:type="character" w:styleId="943">
    <w:name w:val="Hyperlink"/>
    <w:basedOn w:val="90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4">
    <w:name w:val="FollowedHyperlink"/>
    <w:basedOn w:val="90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5">
    <w:name w:val="toc 1"/>
    <w:basedOn w:val="956"/>
    <w:next w:val="956"/>
    <w:uiPriority w:val="39"/>
    <w:unhideWhenUsed/>
    <w:pPr>
      <w:pBdr/>
      <w:spacing w:after="100"/>
      <w:ind/>
    </w:pPr>
  </w:style>
  <w:style w:type="paragraph" w:styleId="946">
    <w:name w:val="toc 2"/>
    <w:basedOn w:val="956"/>
    <w:next w:val="956"/>
    <w:uiPriority w:val="39"/>
    <w:unhideWhenUsed/>
    <w:pPr>
      <w:pBdr/>
      <w:spacing w:after="100"/>
      <w:ind w:left="220"/>
    </w:pPr>
  </w:style>
  <w:style w:type="paragraph" w:styleId="947">
    <w:name w:val="toc 3"/>
    <w:basedOn w:val="956"/>
    <w:next w:val="956"/>
    <w:uiPriority w:val="39"/>
    <w:unhideWhenUsed/>
    <w:pPr>
      <w:pBdr/>
      <w:spacing w:after="100"/>
      <w:ind w:left="440"/>
    </w:pPr>
  </w:style>
  <w:style w:type="paragraph" w:styleId="948">
    <w:name w:val="toc 4"/>
    <w:basedOn w:val="956"/>
    <w:next w:val="956"/>
    <w:uiPriority w:val="39"/>
    <w:unhideWhenUsed/>
    <w:pPr>
      <w:pBdr/>
      <w:spacing w:after="100"/>
      <w:ind w:left="660"/>
    </w:pPr>
  </w:style>
  <w:style w:type="paragraph" w:styleId="949">
    <w:name w:val="toc 5"/>
    <w:basedOn w:val="956"/>
    <w:next w:val="956"/>
    <w:uiPriority w:val="39"/>
    <w:unhideWhenUsed/>
    <w:pPr>
      <w:pBdr/>
      <w:spacing w:after="100"/>
      <w:ind w:left="880"/>
    </w:pPr>
  </w:style>
  <w:style w:type="paragraph" w:styleId="950">
    <w:name w:val="toc 6"/>
    <w:basedOn w:val="956"/>
    <w:next w:val="956"/>
    <w:uiPriority w:val="39"/>
    <w:unhideWhenUsed/>
    <w:pPr>
      <w:pBdr/>
      <w:spacing w:after="100"/>
      <w:ind w:left="1100"/>
    </w:pPr>
  </w:style>
  <w:style w:type="paragraph" w:styleId="951">
    <w:name w:val="toc 7"/>
    <w:basedOn w:val="956"/>
    <w:next w:val="956"/>
    <w:uiPriority w:val="39"/>
    <w:unhideWhenUsed/>
    <w:pPr>
      <w:pBdr/>
      <w:spacing w:after="100"/>
      <w:ind w:left="1320"/>
    </w:pPr>
  </w:style>
  <w:style w:type="paragraph" w:styleId="952">
    <w:name w:val="toc 8"/>
    <w:basedOn w:val="956"/>
    <w:next w:val="956"/>
    <w:uiPriority w:val="39"/>
    <w:unhideWhenUsed/>
    <w:pPr>
      <w:pBdr/>
      <w:spacing w:after="100"/>
      <w:ind w:left="1540"/>
    </w:pPr>
  </w:style>
  <w:style w:type="paragraph" w:styleId="953">
    <w:name w:val="toc 9"/>
    <w:basedOn w:val="956"/>
    <w:next w:val="956"/>
    <w:uiPriority w:val="39"/>
    <w:unhideWhenUsed/>
    <w:pPr>
      <w:pBdr/>
      <w:spacing w:after="100"/>
      <w:ind w:left="1760"/>
    </w:pPr>
  </w:style>
  <w:style w:type="paragraph" w:styleId="954">
    <w:name w:val="TOC Heading"/>
    <w:uiPriority w:val="39"/>
    <w:unhideWhenUsed/>
    <w:pPr>
      <w:pBdr/>
      <w:spacing/>
      <w:ind/>
    </w:pPr>
  </w:style>
  <w:style w:type="paragraph" w:styleId="955">
    <w:name w:val="table of figures"/>
    <w:basedOn w:val="956"/>
    <w:next w:val="956"/>
    <w:uiPriority w:val="99"/>
    <w:unhideWhenUsed/>
    <w:pPr>
      <w:pBdr/>
      <w:spacing w:after="0" w:afterAutospacing="0"/>
      <w:ind/>
    </w:pPr>
  </w:style>
  <w:style w:type="paragraph" w:styleId="956" w:default="1">
    <w:name w:val="Normal"/>
    <w:next w:val="956"/>
    <w:link w:val="956"/>
    <w:qFormat/>
    <w:pPr>
      <w:pBdr/>
      <w:spacing w:after="200" w:line="276" w:lineRule="auto"/>
      <w:ind/>
    </w:pPr>
    <w:rPr>
      <w:sz w:val="22"/>
      <w:szCs w:val="22"/>
      <w:lang w:val="ru-RU" w:eastAsia="en-US" w:bidi="ar-SA"/>
    </w:rPr>
  </w:style>
  <w:style w:type="character" w:styleId="957">
    <w:name w:val="Основной шрифт абзаца"/>
    <w:next w:val="957"/>
    <w:link w:val="956"/>
    <w:uiPriority w:val="1"/>
    <w:unhideWhenUsed/>
    <w:pPr>
      <w:pBdr/>
      <w:spacing/>
      <w:ind/>
    </w:pPr>
  </w:style>
  <w:style w:type="table" w:styleId="958">
    <w:name w:val="Обычная таблица"/>
    <w:next w:val="958"/>
    <w:link w:val="956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9">
    <w:name w:val="Нет списка"/>
    <w:next w:val="959"/>
    <w:link w:val="956"/>
    <w:uiPriority w:val="99"/>
    <w:semiHidden/>
    <w:unhideWhenUsed/>
    <w:pPr>
      <w:pBdr/>
      <w:spacing/>
      <w:ind/>
    </w:pPr>
  </w:style>
  <w:style w:type="paragraph" w:styleId="960">
    <w:name w:val="Абзац списка"/>
    <w:basedOn w:val="956"/>
    <w:next w:val="960"/>
    <w:link w:val="956"/>
    <w:uiPriority w:val="34"/>
    <w:qFormat/>
    <w:pPr>
      <w:pBdr/>
      <w:spacing/>
      <w:ind w:left="720"/>
      <w:contextualSpacing w:val="true"/>
    </w:pPr>
  </w:style>
  <w:style w:type="table" w:styleId="961">
    <w:name w:val="Сетка таблицы"/>
    <w:basedOn w:val="958"/>
    <w:next w:val="961"/>
    <w:link w:val="956"/>
    <w:uiPriority w:val="5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2">
    <w:name w:val="ConsPlusNormal"/>
    <w:next w:val="962"/>
    <w:link w:val="956"/>
    <w:pPr>
      <w:widowControl w:val="false"/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63">
    <w:name w:val="Верхний колонтитул"/>
    <w:basedOn w:val="956"/>
    <w:next w:val="963"/>
    <w:link w:val="964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 w:eastAsia="en-US"/>
    </w:rPr>
  </w:style>
  <w:style w:type="character" w:styleId="964">
    <w:name w:val="Верхний колонтитул Знак"/>
    <w:next w:val="964"/>
    <w:link w:val="963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65">
    <w:name w:val="Нижний колонтитул"/>
    <w:basedOn w:val="956"/>
    <w:next w:val="965"/>
    <w:link w:val="966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6">
    <w:name w:val="Нижний колонтитул Знак"/>
    <w:basedOn w:val="957"/>
    <w:next w:val="966"/>
    <w:link w:val="965"/>
    <w:uiPriority w:val="99"/>
    <w:pPr>
      <w:pBdr/>
      <w:spacing/>
      <w:ind/>
    </w:pPr>
  </w:style>
  <w:style w:type="paragraph" w:styleId="967">
    <w:name w:val="Текст выноски"/>
    <w:basedOn w:val="956"/>
    <w:next w:val="967"/>
    <w:link w:val="968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 w:eastAsia="en-US"/>
    </w:rPr>
  </w:style>
  <w:style w:type="character" w:styleId="968">
    <w:name w:val="Текст выноски Знак"/>
    <w:next w:val="968"/>
    <w:link w:val="967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69">
    <w:name w:val="ConsPlusCell"/>
    <w:next w:val="969"/>
    <w:link w:val="956"/>
    <w:uiPriority w:val="99"/>
    <w:pPr>
      <w:widowControl w:val="false"/>
      <w:pBdr/>
      <w:spacing/>
      <w:ind/>
    </w:pPr>
    <w:rPr>
      <w:rFonts w:ascii="Arial" w:hAnsi="Arial" w:eastAsia="Times New Roman" w:cs="Arial"/>
      <w:lang w:val="ru-RU" w:eastAsia="ru-RU" w:bidi="ar-SA"/>
    </w:rPr>
  </w:style>
  <w:style w:type="paragraph" w:styleId="970">
    <w:name w:val="ConsPlusNonformat"/>
    <w:next w:val="970"/>
    <w:link w:val="956"/>
    <w:pPr>
      <w:pBdr/>
      <w:spacing/>
      <w:ind/>
    </w:pPr>
    <w:rPr>
      <w:rFonts w:ascii="Courier New" w:hAnsi="Courier New" w:eastAsia="Times New Roman" w:cs="Courier New"/>
      <w:lang w:val="ru-RU" w:eastAsia="ru-RU" w:bidi="ar-SA"/>
    </w:rPr>
  </w:style>
  <w:style w:type="character" w:styleId="971">
    <w:name w:val="Гиперссылка"/>
    <w:next w:val="971"/>
    <w:link w:val="956"/>
    <w:uiPriority w:val="99"/>
    <w:unhideWhenUsed/>
    <w:pPr>
      <w:pBdr/>
      <w:spacing/>
      <w:ind/>
    </w:pPr>
    <w:rPr>
      <w:color w:val="0563c1"/>
      <w:u w:val="single"/>
    </w:rPr>
  </w:style>
  <w:style w:type="table" w:styleId="972">
    <w:name w:val="Сетка таблицы1"/>
    <w:basedOn w:val="958"/>
    <w:next w:val="961"/>
    <w:link w:val="956"/>
    <w:pPr>
      <w:pBdr/>
      <w:spacing/>
      <w:ind/>
    </w:pPr>
    <w:rPr>
      <w:rFonts w:ascii="Times New Roman" w:hAnsi="Times New Roman" w:eastAsia="Times New Roman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73">
    <w:name w:val="Неразрешенное упоминание"/>
    <w:next w:val="973"/>
    <w:link w:val="95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974">
    <w:name w:val="Обычный (веб)"/>
    <w:basedOn w:val="956"/>
    <w:next w:val="974"/>
    <w:link w:val="956"/>
    <w:uiPriority w:val="99"/>
    <w:semiHidden/>
    <w:unhideWhenUsed/>
    <w:pPr>
      <w:pBdr/>
      <w:spacing/>
      <w:ind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102</cp:revision>
  <dcterms:created xsi:type="dcterms:W3CDTF">2023-07-21T08:39:00Z</dcterms:created>
  <dcterms:modified xsi:type="dcterms:W3CDTF">2026-08-17T08:03:30Z</dcterms:modified>
  <cp:version>1048576</cp:version>
</cp:coreProperties>
</file>