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ПРОЕКТ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4395" w:leader="none"/>
          <w:tab w:val="left" w:pos="10206" w:leader="none"/>
        </w:tabs>
        <w:spacing w:lineRule="auto" w:line="240" w:before="0" w:after="0"/>
        <w:ind w:right="5102" w:hanging="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О внесении изменения в государственную программу Республики Татарстан «Развитие физической культуры и спорта в Республике Татарстан», утвержденную постановлением Кабинета Министров Республики Татарстан от 05.03.2019 № 159 «Об утверждении государственной программы Республики Татарстан «Развитие физической культуры и спорта в Республике Татарстан»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Кабинет Министров Республики Татарстан ПОСТАНОВЛЯЕТ: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Внести в государственную программу Республики Татарстан «Развитие физической культуры и спорта в Республике Татарстан», утвержденную постановлением Кабинета Министров Республики Татарстан от 05.03.2019 № 159 «</w:t>
      </w:r>
      <w:r>
        <w:rPr>
          <w:rFonts w:cs="Times New Roman" w:ascii="Times New Roman" w:hAnsi="Times New Roman"/>
          <w:bCs/>
          <w:sz w:val="28"/>
          <w:szCs w:val="28"/>
        </w:rPr>
        <w:t>Об утверждении государственной программы Республики Татарстан «Развитие физической культуры и спорта в Республике Татарстан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» (с изменениями, внесенными постановлениями Кабинета Министров Республики Татарстан от 29.09.2023 № 1197, от 05.07.2024 № 518, от 03.11.2025 № 903, от 02.03.2026</w:t>
        <w:br/>
        <w:t>№ 153), изменение, изложив ее в новой редакции (прилагается).</w:t>
      </w:r>
    </w:p>
    <w:p>
      <w:pPr>
        <w:pStyle w:val="Normal"/>
        <w:widowControl w:val="false"/>
        <w:spacing w:lineRule="auto" w:line="240" w:before="0" w:after="0"/>
        <w:ind w:left="142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142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Премьер-министр </w:t>
      </w:r>
    </w:p>
    <w:p>
      <w:pPr>
        <w:sectPr>
          <w:headerReference w:type="default" r:id="rId2"/>
          <w:type w:val="nextPage"/>
          <w:pgSz w:w="11906" w:h="16838"/>
          <w:pgMar w:left="1276" w:right="567" w:gutter="0" w:header="567" w:top="1134" w:footer="0" w:bottom="1134"/>
          <w:pgNumType w:start="1" w:fmt="decimal"/>
          <w:formProt w:val="false"/>
          <w:textDirection w:val="lrTb"/>
          <w:docGrid w:type="default" w:linePitch="360" w:charSpace="4096"/>
        </w:sect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Республики Татарстан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8"/>
        </w:rPr>
        <w:t>А.В.</w:t>
      </w:r>
      <w:bookmarkStart w:id="0" w:name="_gjdgxs"/>
      <w:r>
        <w:rPr>
          <w:rFonts w:cs="Times New Roman" w:ascii="Times New Roman" w:hAnsi="Times New Roman"/>
          <w:color w:val="000000"/>
          <w:sz w:val="28"/>
        </w:rPr>
        <w:t>П</w:t>
      </w:r>
      <w:bookmarkEnd w:id="0"/>
      <w:r>
        <w:rPr>
          <w:rFonts w:cs="Times New Roman" w:ascii="Times New Roman" w:hAnsi="Times New Roman"/>
          <w:color w:val="000000"/>
          <w:sz w:val="28"/>
        </w:rPr>
        <w:t>есошин</w:t>
      </w:r>
    </w:p>
    <w:p>
      <w:pPr>
        <w:pStyle w:val="Normal"/>
        <w:widowControl w:val="false"/>
        <w:spacing w:lineRule="auto" w:line="240" w:before="0" w:after="0"/>
        <w:ind w:left="6379"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Утверждена</w:t>
      </w:r>
    </w:p>
    <w:p>
      <w:pPr>
        <w:pStyle w:val="Normal"/>
        <w:widowControl w:val="false"/>
        <w:spacing w:lineRule="auto" w:line="240" w:before="0" w:after="0"/>
        <w:ind w:left="6379"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постановлением </w:t>
      </w:r>
    </w:p>
    <w:p>
      <w:pPr>
        <w:pStyle w:val="Normal"/>
        <w:widowControl w:val="false"/>
        <w:spacing w:lineRule="auto" w:line="240" w:before="0" w:after="0"/>
        <w:ind w:left="6379"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Кабинета Министров Республики Татарстан </w:t>
      </w:r>
    </w:p>
    <w:p>
      <w:pPr>
        <w:pStyle w:val="Normal"/>
        <w:widowControl w:val="false"/>
        <w:spacing w:lineRule="auto" w:line="240" w:before="0" w:after="0"/>
        <w:ind w:left="6379"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от 05.03.2019 № 159</w:t>
      </w:r>
    </w:p>
    <w:p>
      <w:pPr>
        <w:pStyle w:val="Normal"/>
        <w:widowControl w:val="false"/>
        <w:spacing w:lineRule="auto" w:line="240" w:before="0" w:after="0"/>
        <w:ind w:left="6379"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(в редакции постановления Кабинета Министров Республики Татарстан </w:t>
        <w:br/>
        <w:t>от _______ 2026 № _____)</w:t>
      </w:r>
    </w:p>
    <w:p>
      <w:pPr>
        <w:pStyle w:val="Normal"/>
        <w:widowControl w:val="false"/>
        <w:spacing w:lineRule="auto" w:line="240" w:before="0" w:after="0"/>
        <w:ind w:left="6663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  <w:bookmarkStart w:id="1" w:name="30j0zll"/>
      <w:bookmarkStart w:id="2" w:name="30j0zll"/>
      <w:bookmarkEnd w:id="2"/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Государственная программа Республики Татарстан</w:t>
        <w:br/>
        <w:t>«Развитие физической культуры и спорта в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Республике Татарстан»</w:t>
      </w:r>
    </w:p>
    <w:p>
      <w:pPr>
        <w:pStyle w:val="NormalWeb"/>
        <w:spacing w:before="0" w:after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</w:r>
    </w:p>
    <w:p>
      <w:pPr>
        <w:pStyle w:val="NormalWeb"/>
        <w:spacing w:before="0" w:after="0"/>
        <w:ind w:hanging="0"/>
        <w:jc w:val="center"/>
        <w:rPr/>
      </w:pPr>
      <w:r>
        <w:rPr>
          <w:sz w:val="28"/>
          <w:szCs w:val="28"/>
        </w:rPr>
        <w:t xml:space="preserve">Стратегические приоритеты в сфере реализации государственной программы Республики Татарстан «Развитие физической культуры и спорта </w:t>
        <w:br/>
        <w:t>в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Республике Татарстан»</w:t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"/>
        <w:spacing w:before="0" w:after="0"/>
        <w:ind w:left="0" w:right="-1" w:hanging="0"/>
        <w:rPr/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Оценка текущего состояния в сфере физической культуры и спорта</w:t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  <w:t>Современное состояние физической культуры и спорта Республики Татарстан является результатом реализации государственной политики в сфере физической культуры и спорта в соответствии с указами и поручениями Президента Российской Федерации, мероприятий государственной программы Российской Федерации «Развитие физической культуры и спорта» и федерального проекта «Спорт – норма жизни» национального проекта «Демография», итогом работы в рамках государственной программы Республики Татарстан «Развитие физической культуры и спорта в Республике Татарстан» (далее – государственная программа) с 2014 по 2025 год и характеризуется следующими показателями.</w:t>
      </w:r>
    </w:p>
    <w:p>
      <w:pPr>
        <w:pStyle w:val="NormalWeb"/>
        <w:spacing w:before="0" w:after="0"/>
        <w:rPr/>
      </w:pPr>
      <w:r>
        <w:rPr>
          <w:sz w:val="28"/>
          <w:szCs w:val="28"/>
        </w:rPr>
        <w:t>По итогам 2025 года доля граждан, систематически занимающихся физической культурой и спортом, увеличилась по сравнению с 2016 годом с 15,6 до 67,2 процентов. Среди инвалидов и лиц с ограниченными возможностями здоровья данный показатель по итогам 2025 года составил 45,1 процентов (расчет произведен от количества инвалидов, не имеющих противопоказаний к занятиям физической культурой и спортом).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На основе Единого календарного плана физкультурных мероприятий и спортивных мероприятий Республики Татарстан Министерством спорта Республики Татарстан ежегодно проводится около 800 физкультурных мероприятий, в том числе среди детей и учащейся молодежи. С 2013 по 2025 год количество проводимых мероприятий увеличилось почти на 55 процентов.</w:t>
      </w:r>
    </w:p>
    <w:p>
      <w:pPr>
        <w:sectPr>
          <w:headerReference w:type="default" r:id="rId3"/>
          <w:headerReference w:type="first" r:id="rId4"/>
          <w:type w:val="nextPage"/>
          <w:pgSz w:w="11906" w:h="16838"/>
          <w:pgMar w:left="1276" w:right="567" w:gutter="0" w:header="567" w:top="1134" w:footer="0" w:bottom="1134"/>
          <w:pgNumType w:start="1" w:fmt="decimal"/>
          <w:formProt w:val="false"/>
          <w:textDirection w:val="lrTb"/>
          <w:docGrid w:type="default" w:linePitch="360" w:charSpace="4096"/>
        </w:sectPr>
        <w:pStyle w:val="NormalWeb"/>
        <w:spacing w:before="0" w:after="0"/>
        <w:rPr/>
      </w:pPr>
      <w:r>
        <w:rPr>
          <w:sz w:val="28"/>
          <w:szCs w:val="28"/>
        </w:rPr>
        <w:t>За 2017 – 2025 годы в Республике Татарстан создано 55 центров тестирования и 385 мест тестирования по выполнению нормативов испытаний (тестов) Всероссийского физкультурно-спортивного комплекса «Готов к труду и обороне» (ГТО).</w:t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  <w:t>Общее количество спортивных сооружений в 2025 году достигло 12 133 единиц, в том числе 5 029 сооружений – в сельской местности,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>3 643 сооружений – для лиц с ограниченными возможностями здоровья и инвалидов</w:t>
      </w:r>
      <w:r>
        <w:rPr>
          <w:color w:val="000000"/>
          <w:sz w:val="28"/>
          <w:szCs w:val="28"/>
        </w:rPr>
        <w:t>.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>Показатель единовременной пропускной способности в 2025 году достиг 73 процента. Это означает, что единовременно на всех спортивных сооружениях могут заниматься более 334 404 человек.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 Республике Татарстан развитие системы подготовки спортивного резерва является приоритетным направлением проводимой социальной политики и основывается на надежной нормативно-правовой базе.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На 1 января 2026 года в Республике Татарстан в системе детско-юношеского спорта и подготовки спортивного резерва работу осуществляют 164 спортивные школы (из них 29 спортивных школ имеют статус олимпийского резерва).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 спортивных школах культивируется 79 видов спорта, из них 46 – олимпийские виды спорта; 29 – неолимпийские виды спорта; 4 вида – для лиц с ограниченными возможностями здоровья.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Согласно статистическому отчету 5-ФК, спортивную подготовку проходят</w:t>
        <w:br/>
        <w:t>90 610 воспитанников. Учебно-тренировочную работу с воспитанниками осуществляют 2 859 тренера-преподавателя, из них 2 311 – штатные, 548 – совместители.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На начало 2026 года в составы сборных команд России из Республики Татарстан включены 1 057 спортсменов (в 2024 году – 1 005), из них по олимпийским видам спорта –  508 спортсмена (в 2024 году – 484).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В Республике Татарстан организованы и проведены на высоком уровне значимые спортивные мероприятия: всемирная летняя Универсиада 2013 года, чемпионаты мира по футболу FIFA 2018 года, по водным видам спорта, по борьбе на поясах, по корэш, </w:t>
      </w:r>
      <w:r>
        <w:rPr>
          <w:sz w:val="28"/>
          <w:szCs w:val="28"/>
          <w:shd w:fill="auto" w:val="clear"/>
          <w:lang w:val="en-US"/>
        </w:rPr>
        <w:t>I</w:t>
      </w:r>
      <w:r>
        <w:rPr>
          <w:sz w:val="28"/>
          <w:szCs w:val="28"/>
          <w:shd w:fill="auto" w:val="clear"/>
        </w:rPr>
        <w:t xml:space="preserve"> Игры стран СНГ, международные соревнования «Игры дружбы». </w:t>
      </w:r>
    </w:p>
    <w:p>
      <w:pPr>
        <w:pStyle w:val="NormalWeb"/>
        <w:spacing w:before="0" w:after="0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 2025 году в Республике Татарстан проведено более 70 крупных спортивных мероприятий, из них 13 национальных чемпионатов. Впервые в Казани прошли чемпионаты по велоспорту шоссе, лыжным гонкам, настольному теннису и нардам.</w:t>
      </w:r>
    </w:p>
    <w:p>
      <w:pPr>
        <w:pStyle w:val="NormalWeb"/>
        <w:spacing w:before="0" w:after="0"/>
        <w:rPr/>
      </w:pPr>
      <w:r>
        <w:rPr>
          <w:sz w:val="28"/>
          <w:szCs w:val="28"/>
        </w:rPr>
        <w:t>Реализация указанных проектов в г.Казани способствовала повышению имиджа Республики Татарстан и Российской Федерации на международной арене и развитию событийного туризма.</w:t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  <w:t>Вместе с тем сохраняется ряд проблем, требующих решения.</w:t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  <w:t>Ежегодно все более актуальной становится вопрос необходимости приведения объектов спорта в нормативное состояние.</w:t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  <w:t>Необходимо стимулировать развитие инвестиционной привлекательности сферы физической культуры и спорта, в том числе развитие предпринимательства и государственно-частного (муниципально-частного) партнерства.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Государство принимает федеральные и региональные программы, реализует пилотные проекты, направленные на развитие адаптивного спорта. В законодательной базе Российской Федерации появляются документы, уравнивающие права инвалидов и людей, не имеющих ограничений в состоянии здоровья. Однако в настоящее время равенство прав носит преимущественно декларативный характер по причине отсутствия реальных условий их практической реализации, которые во многом обусловлены недостаточной научно-практической разработанностью проблемы управления развитием адаптивного спорта в регионах Российской Федерации, в частности в Республике Татарстан, а также и на муниципальном уровне.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Повышение требований к качеству подготовки спортсменов диктует необходимость изменения процесса подготовки специалистов отрасли, в том числе в сфере паралимпийских, сурдлимпийских видов спорта и спорта лиц с нарушением интеллекта, формирования новой генерации тренеров, обладающих знаниями особенностей взросления детского организма, соответствующих нагрузок с учетом сенситивных периодов без форсированной подготовки, специфики подготовки спортсменов-инвалидов, адаптивного спорта в целом.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Также в настоящее время доля лиц, обучающихся по дополнительным образовательным программам спортивной подготовки, имеющих спортивные разряды и звания, в общем количестве лиц, занимающихся по программам спортивной подготовки, равна 40 процентам.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Для достижения более высоких показателей Министерством спорта Республики Татарстан будет продолжена государственная поддержка спортсменов и тренеров-преподавателей.</w:t>
      </w:r>
    </w:p>
    <w:p>
      <w:pPr>
        <w:pStyle w:val="NormalWeb"/>
        <w:spacing w:lineRule="auto" w:line="228" w:before="0" w:after="0"/>
        <w:rPr>
          <w:sz w:val="28"/>
          <w:szCs w:val="28"/>
          <w:highlight w:val="yellow"/>
        </w:rPr>
      </w:pPr>
      <w:r>
        <w:rPr>
          <w:sz w:val="28"/>
          <w:szCs w:val="28"/>
        </w:rPr>
        <w:t>Также планируется увеличение бюджетных средств на приобретение спортивного оборудования, инвентаря и экипировки для муниципальных спортивных организаций, а также открытие новых отделений по видам спорта в данных организациях, на организацию участия и выступления спортсменов на различных соревнованиях для присвоения им спортивных разрядов.</w:t>
      </w:r>
    </w:p>
    <w:p>
      <w:pPr>
        <w:pStyle w:val="NormalWeb"/>
        <w:spacing w:lineRule="auto" w:line="228" w:before="0" w:after="0"/>
        <w:rPr/>
      </w:pPr>
      <w:r>
        <w:rPr>
          <w:sz w:val="28"/>
          <w:szCs w:val="28"/>
        </w:rPr>
        <w:t>В целях поддержки тренерских кадров и работников сферы физической культуры и спорта, прибывших (переехавших) на работу в населенные пункты с числом жителей до 50 тыс. человек, расположенные на территории Республики Татарстан, с 2026 по 2028 год планируется реализация мероприятий в рамках программы «Земский тренер».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К основным рискам реализации государственной программы относятся: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финансовые риски, связанные с отсутствием необходимого финансового обеспечения мероприятий и низкой инвестиционной привлекательностью отдельных мероприятий;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рыночные риски, связанные в первую очередь с изменениями в структуре доходов граждан и падением спроса на услуги в сфере физической культуры и спорта;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административные риски, связанные с недостаточной эффективностью взаимодействия между исполнителями государственной программы.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Важнейшими условиями успешной реализации государственной программы являются минимизация указанных рисков, эффективный мониторинг выполнения намеченных мероприятий, принятие оперативных мер по корректировке приоритетных результатов и показателей государственной программы.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Реализация государственной программы позволит привлечь к систематическим занятиям физической культурой и спортом и приобщить к здоровому образу жизни не менее 75 процентов населения республики к 2030 году, что в конечном счете положительно скажется на улучшении качества жизни граждан Республики Татарстан.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Существенно повысится конкурентоспособность спортсменов республики на российской спортивной арене, что позволит спортсменам из Республики Татарстан стабильно быть в составах сборных команд Российской Федерации.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В то же время успехи татарстанских спортсменов на соревнованиях создают предпосылки для выдвижения Республики Татарстан на право проведения этих соревнований на своей территории, что способствует развитию экономического потенциала, увеличению туристических потоков, распространению и стимулированию передовых технологий, привлечению долгосрочных инвестиций.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"/>
        <w:spacing w:lineRule="auto" w:line="228" w:before="0" w:after="0"/>
        <w:ind w:left="0" w:right="-1" w:hanging="0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Описание приоритетов и целей государственной политики </w:t>
      </w:r>
    </w:p>
    <w:p>
      <w:pPr>
        <w:pStyle w:val="C"/>
        <w:spacing w:lineRule="auto" w:line="228" w:before="0" w:after="0"/>
        <w:ind w:left="0" w:right="-1" w:hanging="0"/>
        <w:rPr/>
      </w:pPr>
      <w:r>
        <w:rPr>
          <w:sz w:val="28"/>
          <w:szCs w:val="28"/>
        </w:rPr>
        <w:t xml:space="preserve">Республики Татарстан в сфере реализации государственной программы 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lineRule="auto" w:line="228" w:before="0" w:after="0"/>
        <w:rPr>
          <w:color w:val="000000"/>
          <w:sz w:val="28"/>
          <w:szCs w:val="28"/>
        </w:rPr>
      </w:pPr>
      <w:r>
        <w:rPr>
          <w:sz w:val="28"/>
          <w:szCs w:val="28"/>
        </w:rPr>
        <w:t>Цели государственной политики Республики Татарстан в сфере физической культуры и спорта соответствуют Указу Президента Российской Федерации</w:t>
        <w:br/>
        <w:t>от 7 мая 2024 года № 309 «О национальных целях развития Российской Федерации на период до 2030 года и на перспективу до 2036 года»,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 ноября 2020 г. № 3081-р, Единому плану по достижению национальных целей развития Российской Федерации на период до 2030 года и на перспективу до 2036 года, утвержденному резолюцией Председателя Правительства Российской Федерации</w:t>
        <w:br/>
        <w:t>М.В.Мишустина от 30 декабря 2024 г. № ММ-П13-47086,</w:t>
      </w:r>
      <w:r>
        <w:rPr>
          <w:color w:val="FF38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Закону Республики Татарстан от 17 июня 2015 года № 40-ЗРТ «Об утверждении Стратегии социально-экономического развития Республики Татарстан до 2030 года» (далее – Стратегия-2030).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В целях преодоления актуальных вызовов, с которыми сталкивается Республика Татарстан в сфере физической культуры и спорта, а также достижения стратегических целей и задач социально-экономического развития Республики Татарстан определены цели, разработаны структура и система показателей государственной программы.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Цель 1: увеличение доли граждан, систематически занимающихся физической культурой и спортом, до 68,2 процента к 2029 году, которая характеризуется достижением следующих показателей к 2029 году: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увеличение доли сельского населения, систематически занимающегося физической культурой и спортом, до 59,9 процента;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увеличение доли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 до 71,7 процента;</w:t>
      </w:r>
    </w:p>
    <w:p>
      <w:pPr>
        <w:pStyle w:val="NormalWeb"/>
        <w:spacing w:lineRule="auto" w:line="228" w:before="0" w:after="0"/>
        <w:rPr>
          <w:sz w:val="28"/>
          <w:szCs w:val="28"/>
        </w:rPr>
      </w:pPr>
      <w:r>
        <w:rPr>
          <w:sz w:val="28"/>
          <w:szCs w:val="28"/>
        </w:rPr>
        <w:t>увеличение доли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 до 45,8 процентов;</w:t>
      </w:r>
    </w:p>
    <w:p>
      <w:pPr>
        <w:pStyle w:val="NormalWeb"/>
        <w:spacing w:before="0" w:after="0"/>
        <w:rPr>
          <w:bCs/>
          <w:sz w:val="28"/>
          <w:szCs w:val="28"/>
        </w:rPr>
      </w:pPr>
      <w:r>
        <w:rPr>
          <w:bCs/>
          <w:sz w:val="28"/>
          <w:szCs w:val="28"/>
        </w:rPr>
        <w:t>увеличение доли граждан в возрасте 3 – 29 лет, систематически занимающихся физической культурой и спортом,</w:t>
      </w:r>
      <w:r>
        <w:rPr>
          <w:sz w:val="28"/>
          <w:szCs w:val="28"/>
        </w:rPr>
        <w:t xml:space="preserve"> в общей численности граждан данной возрастной категор</w:t>
      </w:r>
      <w:r>
        <w:rPr>
          <w:color w:val="000000"/>
          <w:sz w:val="28"/>
          <w:szCs w:val="28"/>
        </w:rPr>
        <w:t>ии до 90,8 процента;</w:t>
      </w:r>
    </w:p>
    <w:p>
      <w:pPr>
        <w:pStyle w:val="NormalWeb"/>
        <w:spacing w:lineRule="auto" w:line="235" w:before="0" w:after="0"/>
        <w:rPr>
          <w:color w:val="C9211E"/>
        </w:rPr>
      </w:pPr>
      <w:r>
        <w:rPr>
          <w:color w:val="000000"/>
          <w:sz w:val="28"/>
          <w:szCs w:val="28"/>
        </w:rPr>
        <w:t>увеличение доли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спортом, до 40 процента;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повышение уровня обеспеченности граждан спортивными сооружениями исходя из единовременной пропускной способности объектов спорта до 72,9 процента;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увеличение доли детей, обучающихся в спортивных учреждениях, реализующих дополнительные образовательные программы спортивной подготовки на безвозмездной основе, в том числе из малообеспеченных семей, до 100 процентов.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 xml:space="preserve">Цель 2: </w:t>
      </w:r>
      <w:r>
        <w:rPr>
          <w:color w:val="000000"/>
          <w:sz w:val="28"/>
          <w:szCs w:val="28"/>
        </w:rPr>
        <w:t>увеличение количества спортсменов Республики Татарстан по олимпийским, паралимпийским и сурдлимпийским видам спорта, входящих в состав сборных команд Российской Федерации, до 1009 человек к 2029 году,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которая характеризуется достижением следующих показателей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 2029 году:</w:t>
      </w:r>
    </w:p>
    <w:p>
      <w:pPr>
        <w:pStyle w:val="NormalWeb"/>
        <w:spacing w:lineRule="auto" w:line="235" w:before="0" w:after="0"/>
        <w:rPr/>
      </w:pPr>
      <w:r>
        <w:rPr>
          <w:color w:val="000000"/>
          <w:sz w:val="28"/>
          <w:szCs w:val="28"/>
        </w:rPr>
        <w:t>обеспечение количества подготовленных спортсменов разрядников</w:t>
        <w:br/>
        <w:t>(1 спортивный разряд, кандидат в мастера спорта) до 3809;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увеличение доли спортсменов-разрядников в общем количестве лиц, занимающихся в системе спортивных школ, спортивных школ олимпийского резерва, училищ олимпийского резерва, до 40,5 процента;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увеличение доли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до 23 процентов.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В соответствии с указанными программными документами к числу приоритетных направлений развития физической культуры и спорта относятся: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вовлечение граждан, прежде всего детей и молодежи, в регулярные занятия физической культурой и массовым спортом;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повышение доступности объектов спорта для населения, в том числе на сельских территориях и в сельских агломерациях, а также для лиц с ограниченными возможностями здоровья и инвалидов;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развитие адаптивной физической культуры и адаптивного спорта;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совершенствование системы подготовки спортивного резерва;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спорта на международной арене.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Участие муниципальных районов Республики Татарстан в реализации мероприятий государственной программы является необходимым условием ее эффективности. При этом муниципальные программы развития физической культуры и спорта должны соответствовать целям и задачам государственной программы.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lineRule="auto" w:line="235" w:before="0" w:after="0"/>
        <w:ind w:hanging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Сведения о взаимосвязи со стратегическими приоритетами, </w:t>
      </w:r>
    </w:p>
    <w:p>
      <w:pPr>
        <w:pStyle w:val="NormalWeb"/>
        <w:spacing w:lineRule="auto" w:line="235" w:before="0" w:after="0"/>
        <w:ind w:hang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национальными целями и целями Стратегии-2030, </w:t>
      </w:r>
    </w:p>
    <w:p>
      <w:pPr>
        <w:pStyle w:val="NormalWeb"/>
        <w:spacing w:lineRule="auto" w:line="235" w:before="0" w:after="0"/>
        <w:ind w:hanging="0"/>
        <w:jc w:val="center"/>
        <w:rPr/>
      </w:pPr>
      <w:r>
        <w:rPr>
          <w:sz w:val="28"/>
          <w:szCs w:val="28"/>
        </w:rPr>
        <w:t>показателями государственных программ Российской Федерации</w:t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lineRule="auto" w:line="235" w:before="0" w:after="0"/>
        <w:rPr>
          <w:sz w:val="28"/>
          <w:szCs w:val="28"/>
        </w:rPr>
      </w:pPr>
      <w:r>
        <w:rPr>
          <w:sz w:val="28"/>
          <w:szCs w:val="28"/>
        </w:rPr>
        <w:t>Система целеполагания и задачи государственной программы сформированы с учетом национальных целей развития Российской Федерации на период</w:t>
        <w:br/>
        <w:t>до 2030 года, определенных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года», Единого плана по достижению национальных целей развития Российской Федерации на период до 2030 года и на перспективу до 2036 года, утвержденного резолюцией Председателя Правительства Российской Федерации М.В.Мишустина от 30 декабря 2024 г.</w:t>
        <w:br/>
        <w:t>№ ММ-П13-47086,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также Стратегии-2030.</w:t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  <w:t>Реализация государственной программы непосредственно направлена:</w:t>
      </w:r>
    </w:p>
    <w:p>
      <w:pPr>
        <w:pStyle w:val="NormalWeb"/>
        <w:spacing w:before="0" w:after="0"/>
        <w:rPr>
          <w:sz w:val="28"/>
          <w:szCs w:val="28"/>
          <w:highlight w:val="yellow"/>
        </w:rPr>
      </w:pPr>
      <w:r>
        <w:rPr>
          <w:sz w:val="28"/>
          <w:szCs w:val="28"/>
        </w:rPr>
        <w:t>на достижение национальной цели развития Российской Федерации на период до 2030 года «Сохранение населения, укрепление здоровья и повышение благополучия людей, поддержка семьи» путем увеличения доли граждан, систематически занимающихся физической культурой и спортом;</w:t>
      </w:r>
    </w:p>
    <w:p>
      <w:pPr>
        <w:pStyle w:val="NormalWeb"/>
        <w:spacing w:before="0" w:after="0"/>
        <w:rPr>
          <w:sz w:val="28"/>
          <w:szCs w:val="28"/>
          <w:highlight w:val="yellow"/>
        </w:rPr>
      </w:pPr>
      <w:r>
        <w:rPr>
          <w:sz w:val="28"/>
          <w:szCs w:val="28"/>
        </w:rPr>
        <w:t>на реализацию цели Стратегии-2030: формирование приоритетов государственной политики в сфере физической культуры и спорта, основных направлений и механизмов, способствующих созданию условий, обеспечивающих равные возможности гражданам страны вести здоровый образ жизни, систематически заниматься физической культурой и спортом, а также сохранению конкурентоспособности российского спорта и формированию базы для эффективной работы системы российского спорта при различных сценариях развития геополитической и экономической ситуации в стране;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на развитие приоритетных направлений развития физической культуры и спорта в соответствии с государственной программой Российской Федерации «Развитие физической культуры и спорта»: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вовлечение граждан, прежде всего детей и молодежи, в регулярные занятия физической культурой и массовым спортом;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повышение уровня физической подготовленности граждан Российской Федерации;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повышение доступности объектов спорта для населения, в том числе на сельских территориях и в сельских агломерациях, а также для лиц с ограниченными возможностями здоровья и инвалидов;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развитие адаптивной физической культуры и адаптивного спорта;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совершенствование системы подготовки спортивного резерва;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повышение конкурентоспособности отечественного спорта на международной арене.</w:t>
      </w:r>
    </w:p>
    <w:p>
      <w:pPr>
        <w:pStyle w:val="C"/>
        <w:spacing w:before="0" w:after="0"/>
        <w:ind w:left="675" w:right="675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Задачи государственного управления, способы их эффективного </w:t>
      </w:r>
    </w:p>
    <w:p>
      <w:pPr>
        <w:pStyle w:val="C"/>
        <w:spacing w:before="0" w:after="0"/>
        <w:rPr/>
      </w:pPr>
      <w:r>
        <w:rPr>
          <w:sz w:val="28"/>
          <w:szCs w:val="28"/>
        </w:rPr>
        <w:t xml:space="preserve">решения в сфере физической культуры и спорта </w:t>
      </w:r>
    </w:p>
    <w:p>
      <w:pPr>
        <w:pStyle w:val="C"/>
        <w:spacing w:before="0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Web"/>
        <w:spacing w:before="0" w:after="0"/>
        <w:rPr>
          <w:sz w:val="28"/>
          <w:szCs w:val="28"/>
        </w:rPr>
      </w:pPr>
      <w:r>
        <w:rPr>
          <w:sz w:val="28"/>
          <w:szCs w:val="28"/>
        </w:rPr>
        <w:t>Для достижения цели государственной программы «Увеличение доли граждан, систематически занимающихся физической культурой и спортом, до 68,2 процента к 2029 году» решаются следующие задачи: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создание условий для привлечения граждан к систематическим занятиям физической культурой и спортом;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создание эффективной системы физического воспитания различных категорий и групп населения;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повышение доступности спортивной инфраструктуры для всех категорий и групп населения;</w:t>
      </w:r>
    </w:p>
    <w:p>
      <w:pPr>
        <w:pStyle w:val="Normal"/>
        <w:shd w:val="clear" w:color="auto" w:fill="FFFFFF"/>
        <w:spacing w:lineRule="auto" w:line="276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развитие системы подготовки, переподготовки и повышения квалификации кадрового резерва в сфере физической культуры и спорта;</w:t>
      </w:r>
    </w:p>
    <w:p>
      <w:pPr>
        <w:pStyle w:val="Normal"/>
        <w:shd w:val="clear" w:color="auto" w:fill="FFFFFF"/>
        <w:spacing w:lineRule="auto" w:line="276" w:before="0" w:after="0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достижения целевого показателя количества работников сферы физической культуры и спорта, прибывших (переехавших) на работу в населенные пункты с числом жителей до 50 тыс. человек, расположенные на территории Республики Татарстан, с использованием механизма программы «Земский тренер»;</w:t>
      </w:r>
    </w:p>
    <w:p>
      <w:pPr>
        <w:pStyle w:val="Normal"/>
        <w:shd w:val="clear" w:color="auto" w:fill="FFFFFF"/>
        <w:spacing w:lineRule="auto" w:line="276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совершенствование нормативно-правового регулирования сферы физической культуры и спорта;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обеспечение безопасности при проведении физкультурно-массовых мероприятий.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Решение указанных задач обеспечивается посредством реализации системы мероприятий, предусмотренных региональным проектом «Бизнес-спринт (Я выбираю спорт)», региональным проектом «Развитие социальной и инженерной инфраструктуры» в рамках государственной программы, а также комплексом процессных мероприятий «Проведение мероприятий в области физической культуры и массового спорта».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Для достижения цели государственной программы «Увеличение количества спортсменов Республики Татарстан по олимпийским, паралимпийским и сурдлимпийским видам спорта, входящих в состав сборных команд Российской Федерации,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до 1009 человек к 2029 году</w:t>
      </w:r>
      <w:r>
        <w:rPr>
          <w:rFonts w:eastAsia="Times New Roman" w:cs="Times New Roman" w:ascii="Times New Roman" w:hAnsi="Times New Roman"/>
          <w:sz w:val="28"/>
          <w:szCs w:val="28"/>
        </w:rPr>
        <w:t>» решаются следующие задачи: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создание условий, направленных на увеличение числа перспективных</w:t>
        <w:br/>
        <w:t>спортсменов, способных претендовать на завоевание медалей;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совершенствование системы подготовки спортсменов высшего класса;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повышение эффективности научно-методического и информационно-аналитического обеспечения подготовки спортсменов высшего класса;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развитие системы антидопингового обеспечения подготовки спортсменов высшего класса и спортивного резерва;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обеспечение материально-технических и организационных условий для подготовки и выступления спортсменов высшего класса и спортивных сборных команд Республики Татарстан;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создание условий для проведения на высоком организационном уровне на территории Республики Татарстан крупнейших международных спортивных соревнований;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совершенствование нормативно-правового регулирования сферы спорта высших достижений;</w:t>
      </w:r>
    </w:p>
    <w:p>
      <w:p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обеспечение безопасности при проведении крупных спортивных мероприятий.</w:t>
      </w:r>
    </w:p>
    <w:p>
      <w:pPr>
        <w:sectPr>
          <w:headerReference w:type="default" r:id="rId5"/>
          <w:headerReference w:type="first" r:id="rId6"/>
          <w:type w:val="nextPage"/>
          <w:pgSz w:w="11906" w:h="16838"/>
          <w:pgMar w:left="1276" w:right="567" w:gutter="0" w:header="567" w:top="1134" w:footer="0" w:bottom="971"/>
          <w:pgNumType w:fmt="decimal"/>
          <w:formProt w:val="false"/>
          <w:textDirection w:val="lrTb"/>
          <w:docGrid w:type="default" w:linePitch="360" w:charSpace="4096"/>
        </w:sectPr>
        <w:pStyle w:val="Normal"/>
        <w:shd w:val="clear" w:color="auto" w:fill="FFFFFF"/>
        <w:spacing w:lineRule="auto" w:line="240" w:before="0" w:after="0"/>
        <w:ind w:firstLine="67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Решение указанных задач обеспечивается посредством реализации системы мероприятий, предусмотренных региональным проектом «Развитие социальной и инженерной инфраструктуры» в рамках государственной программы, а также комплексом процессных мероприятий «Проведение спортивных мероприятий, обеспечение подготовки спортсменов высшего класса».</w:t>
      </w:r>
    </w:p>
    <w:p>
      <w:pPr>
        <w:pStyle w:val="Style34"/>
        <w:spacing w:lineRule="auto" w:line="240" w:before="0" w:after="0"/>
        <w:ind w:left="284" w:firstLine="67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  <w:br/>
        <w:t>нормативных правовых актов Республики Татарстан, утверждающих правила предоставления межбюджетных трансфертов из бюджета Республики Татарстан местным бюджетам в рамках реализации государственной программы Республики Татарстан, правила осуществления бюджетных инвестиций и предоставления субсидий из бюджета Республики Татарстан юридическим лицам в рамках реализации государственной программы Республики Татарстан, а также решения об осуществлении капитальных вложений в рамках реализации государственной программы Республики Татарстан</w:t>
      </w:r>
    </w:p>
    <w:p>
      <w:pPr>
        <w:pStyle w:val="Style34"/>
        <w:spacing w:lineRule="auto" w:line="240" w:before="0" w:after="0"/>
        <w:ind w:left="284" w:firstLine="67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5004" w:type="dxa"/>
        <w:jc w:val="left"/>
        <w:tblInd w:w="159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lastRow="0" w:firstRow="1" w:lastColumn="0" w:firstColumn="1" w:val="04a0" w:noHBand="0" w:noVBand="1"/>
      </w:tblPr>
      <w:tblGrid>
        <w:gridCol w:w="676"/>
        <w:gridCol w:w="1814"/>
        <w:gridCol w:w="1814"/>
        <w:gridCol w:w="5029"/>
        <w:gridCol w:w="1514"/>
        <w:gridCol w:w="1606"/>
        <w:gridCol w:w="2550"/>
      </w:tblGrid>
      <w:tr>
        <w:trPr>
          <w:trHeight w:val="381" w:hRule="atLeast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Тип документа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Вид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Реквизиты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Разработчик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Гиперссылка на текст документа</w:t>
            </w:r>
          </w:p>
        </w:tc>
      </w:tr>
    </w:tbl>
    <w:p>
      <w:pPr>
        <w:pStyle w:val="Normal"/>
        <w:spacing w:lineRule="auto" w:line="12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5017" w:type="dxa"/>
        <w:jc w:val="left"/>
        <w:tblInd w:w="159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noVBand="1" w:val="04a0" w:noHBand="0" w:lastColumn="0" w:firstColumn="1" w:lastRow="0" w:firstRow="1"/>
      </w:tblPr>
      <w:tblGrid>
        <w:gridCol w:w="674"/>
        <w:gridCol w:w="1815"/>
        <w:gridCol w:w="1816"/>
        <w:gridCol w:w="5029"/>
        <w:gridCol w:w="1512"/>
        <w:gridCol w:w="1607"/>
        <w:gridCol w:w="2563"/>
      </w:tblGrid>
      <w:tr>
        <w:trPr>
          <w:tblHeader w:val="true"/>
          <w:trHeight w:val="208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150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Государственная программа Республики Татарстан «Развитие физической культуры и спорта в Республике Татарстан»</w:t>
            </w:r>
          </w:p>
        </w:tc>
      </w:tr>
      <w:tr>
        <w:trPr>
          <w:trHeight w:val="2799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иных межбюджетных трансфертов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утверждении Порядка предоставления иных межбюджетных трансфертов из бюджета Республики Татарстан бюджетам муниципальных образований Республики Татарстан на выплату вознаграждения тренерам-преподавателям за подготовку высококвалифицированных спортсменов, а также спортсменам-инструкторам и спортсменам за результаты, полученные в соревнованиях, работающим в муниципальных физкультурных спортивных организациях, осуществляющих подготовку спортивного резерва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29.12.2018 № 1258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https://pravo.tatarstan.ru/npa_kabmin/post/?</w:t>
              <w:br/>
              <w:t>npa_id=1031801</w:t>
            </w:r>
          </w:p>
        </w:tc>
      </w:tr>
      <w:tr>
        <w:trPr>
          <w:trHeight w:val="2824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иных межбюджетных трансфертов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утверждении Порядка предоставления иных межбюджетных трансфертов из бюджета Республики Татарстан бюджетам муниципальных образований Республики Татарстан на приобретение спортивного оборудования, экипировки и инвентаря для оснащения муниципальных физкультурных спортивных организаций, осуществляющих подготовку спортивного резерва Республики Татарстан, на реализацию программ по спортивной подготовке и участие спортивных команд указанных организаций в чемпионате Республики Татарстан по хоккею и (или) чемпионате Российской Федерации по хоккею (подгруппа А)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31.10.2019 № 978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https://pravo.tatarstan.ru/npa_kabmin/post/?</w:t>
              <w:br/>
              <w:t>npa_id=455373</w:t>
            </w:r>
          </w:p>
        </w:tc>
      </w:tr>
      <w:tr>
        <w:trPr>
          <w:trHeight w:val="1842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денежных выплат, порядок предоставления иных межбюджетных трансфертов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установлении денежных выплат работникам –  молодым специалистам физкультурных спортивных организаций, реализующих дополнительные образовательные программы спортивной подготовки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31.10.2019 № 979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https://pravo.tatarstan.ru/npa_kabmin/post/?</w:t>
              <w:br/>
              <w:t>npa_id=455713</w:t>
            </w:r>
          </w:p>
        </w:tc>
      </w:tr>
      <w:tr>
        <w:trPr>
          <w:trHeight w:val="2542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иных межбюджетных трансфертов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утверждении Порядка предоставления иных межбюджетных трансфертов из бюджета Республики Татарстан бюджетам муниципальных образований Республики Татарстан на реализацию мероприятий, связанных с обеспечением условий для развития на территории муниципальных образований Республики Татарстан физической культуры, массового спорта, организации проведения официальных физкультурно-оздоровительных и спортивных мероприятий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31.10.2019 № 986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https://pravo.tatarstan.ru/npa_kabmin/post/?</w:t>
              <w:br/>
              <w:t>npa_id=455753</w:t>
            </w:r>
          </w:p>
        </w:tc>
      </w:tr>
      <w:tr>
        <w:trPr>
          <w:trHeight w:val="240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субсидии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утверждении Порядка предоставления субсидий из бюджета Республики Татарстан на финансовое обеспечение (возмещение) затрат юридических лиц, связанных с организацией, проведением и участием в мероприятиях в области физической культуры и спорта, культурно-массовых мероприятиях, в том числе праздниках для жителей Республики Татарстан, и иных мероприятиях социальной направленности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05.08.2021 № 681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https://pravo.tatarstan.ru/npa_kabmin/post/?</w:t>
              <w:br/>
              <w:t>npa_id=1562811</w:t>
            </w:r>
          </w:p>
        </w:tc>
      </w:tr>
      <w:tr>
        <w:trPr>
          <w:trHeight w:val="1402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субсидии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утверждении Порядка предоставления субсидии из бюджета Республики Татарстан некоммерческим организациям на финансовое обеспечение затрат, связанных с проведением спортивных мероприятий, мероприятий по пропаганде, популяризации и дальнейшему развитию тенниса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11.09.2021 № 859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https://pravo.tatarstan.ru/npa_kabmin/post/?</w:t>
              <w:br/>
              <w:t>npa_id=1565671</w:t>
            </w:r>
          </w:p>
        </w:tc>
      </w:tr>
      <w:tr>
        <w:trPr>
          <w:trHeight w:val="1834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субсидии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утверждении Порядка предоставления субсидий из бюджета Республики Татарстан на финансовое обеспечение (возмещение) затрат юридических лиц, связанных с предоставлением объектов спорта для организации и проведения физкультурно-оздоровительных и спортивных мероприятий в Республике Татарстан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01.12.2021 № 1161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https://pravo.tatarstan.ru/npa_kabmin/post/?</w:t>
              <w:br/>
              <w:t>npa_id=890751</w:t>
            </w:r>
          </w:p>
        </w:tc>
      </w:tr>
      <w:tr>
        <w:trPr>
          <w:trHeight w:val="2843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предоставления субсидии</w:t>
            </w:r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утверждении Порядка предоставления субсидий из бюджета Республики Татарстан бюджетам муниципальных образований Республики Татарстан в целях софинансирования расходных обязательств муниципальных образований Республики Татарстан по приобретению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«олимпийский», «паралимпийский», «сурдлимпийский» или образованные на его основе слова или словосочетания, в нормативное состояние»</w:t>
            </w:r>
          </w:p>
        </w:tc>
        <w:tc>
          <w:tcPr>
            <w:tcW w:w="1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02.03.2022 № 193</w:t>
            </w:r>
          </w:p>
        </w:tc>
        <w:tc>
          <w:tcPr>
            <w:tcW w:w="16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https://pravo.tatarstan.ru/npa_kabmin/post/?npa_id=1345311</w:t>
            </w:r>
          </w:p>
        </w:tc>
      </w:tr>
      <w:tr>
        <w:trPr>
          <w:trHeight w:val="2843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субсидии</w:t>
            </w:r>
          </w:p>
        </w:tc>
        <w:tc>
          <w:tcPr>
            <w:tcW w:w="18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из бюджета Республики Татарстан бюджетам Зеленодольского муниципального района Республики Татарстан и муниципального образования г.Казани в 2025 году и бюджету муниципального образования г.Набережные Челны в 2025 и</w:t>
              <w:br/>
              <w:t>2026 годах на софинансирование расходных обязательств муниципальных образований Республики Татарстан, возникающих при реализации мероприятий по созданию (реконструкции) объектов спортивной инфраструктуры массового спорта на основании концессионных соглашений</w:t>
            </w:r>
          </w:p>
        </w:tc>
        <w:tc>
          <w:tcPr>
            <w:tcW w:w="15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17.12.2024 № 1150</w:t>
            </w:r>
          </w:p>
        </w:tc>
        <w:tc>
          <w:tcPr>
            <w:tcW w:w="160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https://pravo.tatarstan.ru/npa_kabmin/post?</w:t>
              <w:br/>
              <w:t>npa_id=1545716</w:t>
            </w:r>
          </w:p>
        </w:tc>
      </w:tr>
      <w:tr>
        <w:trPr>
          <w:trHeight w:val="2192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Порядок предоставления субсидии</w:t>
            </w:r>
          </w:p>
        </w:tc>
        <w:tc>
          <w:tcPr>
            <w:tcW w:w="18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постановление Кабинета Министров Республики Татарстан</w:t>
            </w:r>
          </w:p>
        </w:tc>
        <w:tc>
          <w:tcPr>
            <w:tcW w:w="50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 утверждении Порядка предоставления субсидий из бюджета Республики Татарстан на финансовое обеспечение (возмещение) затрат юридических лиц, связанных с реализацией мероприятий Концепции комплексного сопровождения людей с расстройствами аутистического спектра и другими ментальными нарушениями в Республике Татарстан на 2022 – 2026 годы</w:t>
            </w:r>
          </w:p>
        </w:tc>
        <w:tc>
          <w:tcPr>
            <w:tcW w:w="15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20.12.2024 № 1174</w:t>
            </w:r>
          </w:p>
        </w:tc>
        <w:tc>
          <w:tcPr>
            <w:tcW w:w="160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Министерство спорта Республики Татарстан</w:t>
            </w:r>
          </w:p>
        </w:tc>
        <w:tc>
          <w:tcPr>
            <w:tcW w:w="25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https://pravo.tatarstan.ru/npa_kabmin/post/?</w:t>
              <w:br/>
              <w:t>npa_id=1551701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>
      <w:headerReference w:type="default" r:id="rId7"/>
      <w:headerReference w:type="first" r:id="rId8"/>
      <w:type w:val="nextPage"/>
      <w:pgSz w:orient="landscape" w:w="16838" w:h="11906"/>
      <w:pgMar w:left="1134" w:right="1134" w:gutter="0" w:header="567" w:top="1276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7</w:t>
    </w:r>
    <w:r>
      <w:rPr>
        <w:sz w:val="28"/>
        <w:szCs w:val="28"/>
        <w:rFonts w:cs="Times New Roman" w:ascii="Times New Roman" w:hAnsi="Times New Roman"/>
      </w:rPr>
      <w:fldChar w:fldCharType="end"/>
    </w:r>
  </w:p>
  <w:p>
    <w:pPr>
      <w:pStyle w:val="Style28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9</w:t>
    </w:r>
    <w:r>
      <w:rPr>
        <w:sz w:val="28"/>
        <w:szCs w:val="28"/>
        <w:rFonts w:cs="Times New Roman" w:ascii="Times New Roman" w:hAnsi="Times New Roman"/>
      </w:rPr>
      <w:fldChar w:fldCharType="end"/>
    </w:r>
  </w:p>
  <w:p>
    <w:pPr>
      <w:pStyle w:val="Style28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pPr>
      <w:widowControl w:val="false"/>
      <w:spacing w:lineRule="auto" w:line="240" w:before="108" w:after="108"/>
      <w:jc w:val="center"/>
      <w:outlineLvl w:val="0"/>
    </w:pPr>
    <w:rPr>
      <w:rFonts w:ascii="Times New Roman" w:hAnsi="Times New Roman" w:eastAsia="Times New Roman" w:cs="Times New Roman"/>
      <w:b/>
      <w:color w:val="26282F"/>
      <w:sz w:val="24"/>
      <w:szCs w:val="24"/>
    </w:rPr>
  </w:style>
  <w:style w:type="paragraph" w:styleId="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color w:val="2E75B5"/>
      <w:sz w:val="26"/>
      <w:szCs w:val="26"/>
    </w:rPr>
  </w:style>
  <w:style w:type="paragraph" w:styleId="3">
    <w:name w:val="Heading 3"/>
    <w:basedOn w:val="Normal"/>
    <w:next w:val="Normal"/>
    <w:link w:val="31"/>
    <w:qFormat/>
    <w:pPr>
      <w:keepNext w:val="true"/>
      <w:keepLines/>
      <w:spacing w:before="40" w:after="0"/>
      <w:outlineLvl w:val="2"/>
    </w:pPr>
    <w:rPr>
      <w:color w:val="1E4D78"/>
      <w:sz w:val="24"/>
      <w:szCs w:val="24"/>
    </w:rPr>
  </w:style>
  <w:style w:type="paragraph" w:styleId="4">
    <w:name w:val="Heading 4"/>
    <w:basedOn w:val="Normal"/>
    <w:next w:val="Normal"/>
    <w:link w:val="41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1"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link w:val="61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val="4F81BD" w:themeColor="accent1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5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6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Pr>
      <w:color w:val="0000FF"/>
      <w:u w:val="single"/>
    </w:rPr>
  </w:style>
  <w:style w:type="character" w:styleId="W91" w:customStyle="1">
    <w:name w:val="w91"/>
    <w:basedOn w:val="DefaultParagraphFont"/>
    <w:qFormat/>
    <w:rPr>
      <w:b w:val="false"/>
      <w:bCs w:val="false"/>
      <w:i w:val="false"/>
      <w:iCs w:val="false"/>
      <w:strike w:val="false"/>
      <w:dstrike w:val="false"/>
      <w:sz w:val="24"/>
      <w:szCs w:val="24"/>
      <w:u w:val="none"/>
      <w:vertAlign w:val="superscript"/>
    </w:rPr>
  </w:style>
  <w:style w:type="character" w:styleId="Cmd" w:customStyle="1">
    <w:name w:val="cmd"/>
    <w:basedOn w:val="DefaultParagraphFont"/>
    <w:qFormat/>
    <w:rPr/>
  </w:style>
  <w:style w:type="character" w:styleId="Style7" w:customStyle="1">
    <w:name w:val="Верхний колонтитул Знак"/>
    <w:basedOn w:val="DefaultParagraphFont"/>
    <w:uiPriority w:val="99"/>
    <w:qFormat/>
    <w:rPr>
      <w:rFonts w:ascii="Calibri" w:hAnsi="Calibri" w:eastAsia="Calibri" w:cs="Calibri"/>
      <w:lang w:eastAsia="ru-RU"/>
    </w:rPr>
  </w:style>
  <w:style w:type="character" w:styleId="Style8" w:customStyle="1">
    <w:name w:val="Нижний колонтитул Знак"/>
    <w:basedOn w:val="DefaultParagraphFont"/>
    <w:uiPriority w:val="99"/>
    <w:qFormat/>
    <w:rPr>
      <w:rFonts w:ascii="Calibri" w:hAnsi="Calibri" w:eastAsia="Calibri" w:cs="Calibri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eastAsia="Calibri" w:cs="Segoe UI"/>
      <w:sz w:val="18"/>
      <w:szCs w:val="18"/>
      <w:lang w:eastAsia="ru-RU"/>
    </w:rPr>
  </w:style>
  <w:style w:type="character" w:styleId="11" w:customStyle="1">
    <w:name w:val="Заголовок 1 Знак"/>
    <w:basedOn w:val="DefaultParagraphFont"/>
    <w:qFormat/>
    <w:rPr>
      <w:rFonts w:ascii="Times New Roman" w:hAnsi="Times New Roman" w:eastAsia="Times New Roman" w:cs="Times New Roman"/>
      <w:b/>
      <w:color w:val="26282F"/>
      <w:sz w:val="24"/>
      <w:szCs w:val="24"/>
      <w:lang w:eastAsia="ru-RU"/>
    </w:rPr>
  </w:style>
  <w:style w:type="character" w:styleId="21" w:customStyle="1">
    <w:name w:val="Заголовок 2 Знак"/>
    <w:basedOn w:val="DefaultParagraphFont"/>
    <w:qFormat/>
    <w:rPr>
      <w:rFonts w:ascii="Calibri" w:hAnsi="Calibri" w:eastAsia="Calibri" w:cs="Calibri"/>
      <w:color w:val="2E75B5"/>
      <w:sz w:val="26"/>
      <w:szCs w:val="26"/>
      <w:lang w:eastAsia="ru-RU"/>
    </w:rPr>
  </w:style>
  <w:style w:type="character" w:styleId="31" w:customStyle="1">
    <w:name w:val="Заголовок 3 Знак"/>
    <w:basedOn w:val="DefaultParagraphFont"/>
    <w:qFormat/>
    <w:rPr>
      <w:rFonts w:ascii="Calibri" w:hAnsi="Calibri" w:eastAsia="Calibri" w:cs="Calibri"/>
      <w:color w:val="1E4D78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qFormat/>
    <w:rPr>
      <w:rFonts w:ascii="Calibri" w:hAnsi="Calibri" w:eastAsia="Calibri" w:cs="Calibri"/>
      <w:b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qFormat/>
    <w:rPr>
      <w:rFonts w:ascii="Calibri" w:hAnsi="Calibri" w:eastAsia="Calibri" w:cs="Calibri"/>
      <w:b/>
      <w:lang w:eastAsia="ru-RU"/>
    </w:rPr>
  </w:style>
  <w:style w:type="character" w:styleId="61" w:customStyle="1">
    <w:name w:val="Заголовок 6 Знак"/>
    <w:basedOn w:val="DefaultParagraphFont"/>
    <w:qFormat/>
    <w:rPr>
      <w:rFonts w:ascii="Calibri" w:hAnsi="Calibri" w:eastAsia="Calibri" w:cs="Calibri"/>
      <w:b/>
      <w:sz w:val="20"/>
      <w:szCs w:val="20"/>
      <w:lang w:eastAsia="ru-RU"/>
    </w:rPr>
  </w:style>
  <w:style w:type="character" w:styleId="Style10" w:customStyle="1">
    <w:name w:val="Заголовок Знак"/>
    <w:basedOn w:val="DefaultParagraphFont"/>
    <w:qFormat/>
    <w:rPr>
      <w:rFonts w:ascii="Calibri" w:hAnsi="Calibri" w:eastAsia="Calibri" w:cs="Calibri"/>
      <w:b/>
      <w:sz w:val="72"/>
      <w:szCs w:val="72"/>
      <w:lang w:eastAsia="ru-RU"/>
    </w:rPr>
  </w:style>
  <w:style w:type="character" w:styleId="Style11" w:customStyle="1">
    <w:name w:val="Подзаголовок Знак"/>
    <w:basedOn w:val="DefaultParagraphFont"/>
    <w:qFormat/>
    <w:rPr>
      <w:rFonts w:ascii="Calibri" w:hAnsi="Calibri" w:eastAsia="Calibri" w:cs="Calibri"/>
      <w:color w:val="5A5A5A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uiPriority w:val="99"/>
    <w:semiHidden/>
    <w:qFormat/>
    <w:rPr>
      <w:rFonts w:ascii="Calibri" w:hAnsi="Calibri" w:eastAsia="Calibri" w:cs="Calibri"/>
      <w:sz w:val="20"/>
      <w:szCs w:val="20"/>
      <w:lang w:eastAsia="ru-RU"/>
    </w:rPr>
  </w:style>
  <w:style w:type="character" w:styleId="Style13" w:customStyle="1">
    <w:name w:val="Тема примечания Знак"/>
    <w:basedOn w:val="Style12"/>
    <w:link w:val="Annotationsubject"/>
    <w:uiPriority w:val="99"/>
    <w:semiHidden/>
    <w:qFormat/>
    <w:rPr>
      <w:rFonts w:ascii="Calibri" w:hAnsi="Calibri" w:eastAsia="Calibri" w:cs="Calibri"/>
      <w:b/>
      <w:bCs/>
      <w:sz w:val="20"/>
      <w:szCs w:val="20"/>
      <w:lang w:eastAsia="ru-RU"/>
    </w:rPr>
  </w:style>
  <w:style w:type="character" w:styleId="Style14" w:customStyle="1">
    <w:name w:val="Текст сноски Знак"/>
    <w:basedOn w:val="DefaultParagraphFont"/>
    <w:uiPriority w:val="99"/>
    <w:semiHidden/>
    <w:qFormat/>
    <w:rPr>
      <w:rFonts w:ascii="Calibri" w:hAnsi="Calibri" w:eastAsia="Calibri" w:cs="Calibri"/>
      <w:sz w:val="20"/>
      <w:szCs w:val="20"/>
      <w:lang w:eastAsia="ru-RU"/>
    </w:rPr>
  </w:style>
  <w:style w:type="character" w:styleId="Style15" w:customStyle="1">
    <w:name w:val="Символ сноски"/>
    <w:uiPriority w:val="99"/>
    <w:semiHidden/>
    <w:unhideWhenUsed/>
    <w:qFormat/>
    <w:rPr>
      <w:vertAlign w:val="superscript"/>
    </w:rPr>
  </w:style>
  <w:style w:type="character" w:styleId="Style16">
    <w:name w:val="Footnote Reference"/>
    <w:rPr>
      <w:vertAlign w:val="superscript"/>
    </w:rPr>
  </w:style>
  <w:style w:type="character" w:styleId="Style17" w:customStyle="1">
    <w:name w:val="Основной текст с отступом Знак"/>
    <w:basedOn w:val="DefaultParagraphFont"/>
    <w:uiPriority w:val="99"/>
    <w:semiHidden/>
    <w:qFormat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23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  <w:ind w:left="0" w:right="0" w:hanging="0"/>
    </w:pPr>
    <w:rPr/>
  </w:style>
  <w:style w:type="paragraph" w:styleId="22">
    <w:name w:val="TOC 2"/>
    <w:basedOn w:val="Normal"/>
    <w:next w:val="Normal"/>
    <w:uiPriority w:val="39"/>
    <w:unhideWhenUsed/>
    <w:pPr>
      <w:spacing w:before="0" w:after="57"/>
      <w:ind w:left="283" w:right="0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right="0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right="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right="0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next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next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next w:val="Normal"/>
    <w:uiPriority w:val="39"/>
    <w:unhideWhenUsed/>
    <w:pPr>
      <w:spacing w:before="0" w:after="57"/>
      <w:ind w:left="2268" w:right="0" w:hanging="0"/>
    </w:pPr>
    <w:rPr/>
  </w:style>
  <w:style w:type="paragraph" w:styleId="Style24">
    <w:name w:val="Index Heading"/>
    <w:basedOn w:val="Style18"/>
    <w:pPr/>
    <w:rPr/>
  </w:style>
  <w:style w:type="paragraph" w:styleId="Style25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Style26">
    <w:name w:val="Title"/>
    <w:basedOn w:val="Normal"/>
    <w:next w:val="Style19"/>
    <w:link w:val="Style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="90" w:after="90"/>
      <w:ind w:firstLine="675"/>
      <w:jc w:val="both"/>
    </w:pPr>
    <w:rPr>
      <w:rFonts w:ascii="Times New Roman" w:hAnsi="Times New Roman" w:eastAsia="Arial" w:cs="Times New Roman" w:eastAsiaTheme="minorEastAsia"/>
      <w:sz w:val="24"/>
      <w:szCs w:val="24"/>
    </w:rPr>
  </w:style>
  <w:style w:type="paragraph" w:styleId="S" w:customStyle="1">
    <w:name w:val="s"/>
    <w:basedOn w:val="Normal"/>
    <w:uiPriority w:val="99"/>
    <w:semiHidden/>
    <w:qFormat/>
    <w:pPr>
      <w:spacing w:lineRule="auto" w:line="240" w:before="90" w:after="90"/>
      <w:ind w:left="5100" w:hanging="0"/>
      <w:jc w:val="center"/>
    </w:pPr>
    <w:rPr>
      <w:rFonts w:ascii="Times New Roman" w:hAnsi="Times New Roman" w:eastAsia="Arial" w:cs="Times New Roman" w:eastAsiaTheme="minorEastAsia"/>
      <w:sz w:val="24"/>
      <w:szCs w:val="24"/>
    </w:rPr>
  </w:style>
  <w:style w:type="paragraph" w:styleId="C" w:customStyle="1">
    <w:name w:val="c"/>
    <w:basedOn w:val="Normal"/>
    <w:uiPriority w:val="99"/>
    <w:semiHidden/>
    <w:qFormat/>
    <w:pPr>
      <w:spacing w:lineRule="auto" w:line="240" w:before="90" w:after="90"/>
      <w:ind w:left="675" w:right="675" w:hanging="0"/>
      <w:jc w:val="center"/>
    </w:pPr>
    <w:rPr>
      <w:rFonts w:ascii="Times New Roman" w:hAnsi="Times New Roman" w:eastAsia="Arial" w:cs="Times New Roman" w:eastAsiaTheme="minorEastAsia"/>
      <w:sz w:val="24"/>
      <w:szCs w:val="24"/>
    </w:rPr>
  </w:style>
  <w:style w:type="paragraph" w:styleId="T" w:customStyle="1">
    <w:name w:val="t"/>
    <w:basedOn w:val="Normal"/>
    <w:uiPriority w:val="99"/>
    <w:semiHidden/>
    <w:qFormat/>
    <w:pPr>
      <w:spacing w:lineRule="auto" w:line="240" w:before="90" w:after="90"/>
      <w:ind w:left="675" w:right="675" w:hanging="0"/>
      <w:jc w:val="center"/>
    </w:pPr>
    <w:rPr>
      <w:rFonts w:ascii="Times New Roman" w:hAnsi="Times New Roman" w:eastAsia="Arial" w:cs="Times New Roman" w:eastAsiaTheme="minorEastAsia"/>
      <w:b/>
      <w:bCs/>
      <w:sz w:val="24"/>
      <w:szCs w:val="24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Style27" w:customStyle="1">
    <w:name w:val="Колонтитул"/>
    <w:basedOn w:val="Normal"/>
    <w:qFormat/>
    <w:pPr/>
    <w:rPr/>
  </w:style>
  <w:style w:type="paragraph" w:styleId="Style28">
    <w:name w:val="Header"/>
    <w:basedOn w:val="Normal"/>
    <w:link w:val="Style7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link w:val="Style8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30">
    <w:name w:val="Subtitle"/>
    <w:basedOn w:val="Normal"/>
    <w:next w:val="Normal"/>
    <w:link w:val="Style11"/>
    <w:qFormat/>
    <w:pPr/>
    <w:rPr>
      <w:color w:val="5A5A5A"/>
    </w:rPr>
  </w:style>
  <w:style w:type="paragraph" w:styleId="Annotationtext">
    <w:name w:val="annotation text"/>
    <w:basedOn w:val="Normal"/>
    <w:link w:val="Style12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pPr/>
    <w:rPr>
      <w:b/>
      <w:bCs/>
    </w:rPr>
  </w:style>
  <w:style w:type="paragraph" w:styleId="Style31">
    <w:name w:val="Footnote Text"/>
    <w:basedOn w:val="Normal"/>
    <w:link w:val="Style14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Style3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3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Style34">
    <w:name w:val="Body Text Indent"/>
    <w:basedOn w:val="Normal"/>
    <w:link w:val="Style17"/>
    <w:uiPriority w:val="99"/>
    <w:semiHidden/>
    <w:unhideWhenUsed/>
    <w:pPr>
      <w:spacing w:before="0" w:after="120"/>
      <w:ind w:left="283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styleId="49">
    <w:name w:val="Table Grid Light"/>
    <w:basedOn w:val="74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1">
    <w:name w:val="Plain Table 2"/>
    <w:basedOn w:val="74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2">
    <w:name w:val="Plain Table 3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53">
    <w:name w:val="Plain Table 4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4">
    <w:name w:val="Plain Table 5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6">
    <w:name w:val="Grid Table 1 Light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7">
    <w:name w:val="Grid Table 1 Light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8">
    <w:name w:val="Grid Table 1 Light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9">
    <w:name w:val="Grid Table 1 Light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0">
    <w:name w:val="Grid Table 1 Light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1">
    <w:name w:val="Grid Table 1 Light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2">
    <w:name w:val="Grid Table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5">
    <w:name w:val="Grid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6">
    <w:name w:val="Grid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7">
    <w:name w:val="Grid Table 5 Dark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8">
    <w:name w:val="Grid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9">
    <w:name w:val="Grid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0">
    <w:name w:val="Grid Table 6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1">
    <w:name w:val="Grid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2">
    <w:name w:val="Grid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3">
    <w:name w:val="Grid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4">
    <w:name w:val="Grid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5">
    <w:name w:val="Grid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6">
    <w:name w:val="Grid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7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19">
    <w:name w:val="List Table 3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0">
    <w:name w:val="List Table 3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1">
    <w:name w:val="List Table 3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2">
    <w:name w:val="List Table 3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3">
    <w:name w:val="List Table 3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4">
    <w:name w:val="List Table 3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5">
    <w:name w:val="List Table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6">
    <w:name w:val="List Table 4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7">
    <w:name w:val="List Table 4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8">
    <w:name w:val="List Table 4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9">
    <w:name w:val="List Table 4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0">
    <w:name w:val="List Table 4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1">
    <w:name w:val="List Table 4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2">
    <w:name w:val="List Table 5 Dark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3">
    <w:name w:val="List Table 5 Dark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6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7">
    <w:name w:val="List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148">
    <w:name w:val="List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149">
    <w:name w:val="List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150">
    <w:name w:val="List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151">
    <w:name w:val="List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152">
    <w:name w:val="List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153">
    <w:name w:val="Lined - Accent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155">
    <w:name w:val="Lined - Accent 2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156">
    <w:name w:val="Lined - Accent 3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157">
    <w:name w:val="Lined - Accent 4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158">
    <w:name w:val="Lined - Accent 5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159">
    <w:name w:val="Lined - Accent 6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160">
    <w:name w:val="Bordered &amp; Lined - Accent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162">
    <w:name w:val="Bordered &amp; Lined - Accent 2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163">
    <w:name w:val="Bordered &amp; Lined - Accent 3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164">
    <w:name w:val="Bordered &amp; Lined - Accent 4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165">
    <w:name w:val="Bordered &amp; Lined - Accent 5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166">
    <w:name w:val="Bordered &amp; Lined - Accent 6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167">
    <w:name w:val="Bordered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747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customStyle="1" w:styleId="794">
    <w:name w:val="Table Normal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5">
    <w:name w:val="Table Grid"/>
    <w:basedOn w:val="747"/>
    <w:uiPriority w:val="39"/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A7642-C7B1-43AA-AB0D-17C6D79A2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Application>LibreOffice/7.5.6.2$Linux_X86_64 LibreOffice_project/50$Build-2</Application>
  <AppVersion>15.0000</AppVersion>
  <Pages>13</Pages>
  <Words>3059</Words>
  <Characters>23505</Characters>
  <CharactersWithSpaces>26484</CharactersWithSpaces>
  <Paragraphs>193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2026-06-17T12:57:00Z</dcterms:created>
  <dc:creator>Князева Юлия Алексеевна</dc:creator>
  <dc:description/>
  <dc:language>ru-RU</dc:language>
  <cp:lastModifiedBy/>
  <dcterms:modified xsi:type="dcterms:W3CDTF">2026-08-07T16:01:17Z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