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auto"/>
        <w:ind/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ПРОЕКТ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КАБИНЕТ МИНИСТРОВ РЕСПУБЛИКИ ТАТАРСТАН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ПОСТАНОВЛЕНИЕ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«___» ______</w:t>
      </w:r>
      <w:r>
        <w:rPr>
          <w:rFonts w:ascii="Times New Roman" w:hAnsi="Times New Roman" w:eastAsia="Calibri"/>
          <w:sz w:val="28"/>
          <w:szCs w:val="28"/>
          <w:highlight w:val="none"/>
          <w:lang w:eastAsia="en-US"/>
        </w:rPr>
        <w:t xml:space="preserve">_ </w:t>
      </w:r>
      <w:r>
        <w:rPr>
          <w:rFonts w:ascii="Times New Roman" w:hAnsi="Times New Roman" w:eastAsia="Calibri"/>
          <w:sz w:val="28"/>
          <w:szCs w:val="28"/>
          <w:highlight w:val="none"/>
          <w:lang w:eastAsia="en-US"/>
        </w:rPr>
        <w:t xml:space="preserve">202</w:t>
      </w:r>
      <w:r>
        <w:rPr>
          <w:rFonts w:ascii="Times New Roman" w:hAnsi="Times New Roman" w:eastAsia="Calibri"/>
          <w:sz w:val="28"/>
          <w:szCs w:val="28"/>
          <w:highlight w:val="none"/>
          <w:lang w:eastAsia="en-US"/>
        </w:rPr>
        <w:t xml:space="preserve">6</w:t>
      </w:r>
      <w:r>
        <w:rPr>
          <w:rFonts w:ascii="Times New Roman" w:hAnsi="Times New Roman" w:eastAsia="Calibri"/>
          <w:sz w:val="28"/>
          <w:szCs w:val="28"/>
          <w:lang w:eastAsia="en-US"/>
        </w:rPr>
        <w:tab/>
      </w:r>
      <w:r>
        <w:rPr>
          <w:rFonts w:ascii="Times New Roman" w:hAnsi="Times New Roman" w:eastAsia="Calibri"/>
          <w:sz w:val="28"/>
          <w:szCs w:val="28"/>
          <w:lang w:eastAsia="en-US"/>
        </w:rPr>
        <w:tab/>
      </w:r>
      <w:r>
        <w:rPr>
          <w:rFonts w:ascii="Times New Roman" w:hAnsi="Times New Roman" w:eastAsia="Calibri"/>
          <w:sz w:val="28"/>
          <w:szCs w:val="28"/>
          <w:lang w:eastAsia="en-US"/>
        </w:rPr>
        <w:tab/>
      </w:r>
      <w:r>
        <w:rPr>
          <w:rFonts w:ascii="Times New Roman" w:hAnsi="Times New Roman" w:eastAsia="Calibri"/>
          <w:sz w:val="28"/>
          <w:szCs w:val="28"/>
          <w:lang w:eastAsia="en-US"/>
        </w:rPr>
        <w:tab/>
      </w:r>
      <w:r>
        <w:rPr>
          <w:rFonts w:ascii="Times New Roman" w:hAnsi="Times New Roman" w:eastAsia="Calibri"/>
          <w:sz w:val="28"/>
          <w:szCs w:val="28"/>
          <w:lang w:eastAsia="en-US"/>
        </w:rPr>
        <w:tab/>
      </w:r>
      <w:r>
        <w:rPr>
          <w:rFonts w:ascii="Times New Roman" w:hAnsi="Times New Roman" w:eastAsia="Calibri"/>
          <w:sz w:val="28"/>
          <w:szCs w:val="28"/>
          <w:lang w:eastAsia="en-US"/>
        </w:rPr>
        <w:tab/>
      </w:r>
      <w:r>
        <w:rPr>
          <w:rFonts w:ascii="Times New Roman" w:hAnsi="Times New Roman" w:eastAsia="Calibri"/>
          <w:sz w:val="28"/>
          <w:szCs w:val="28"/>
          <w:lang w:eastAsia="en-US"/>
        </w:rPr>
        <w:tab/>
      </w:r>
      <w:r>
        <w:rPr>
          <w:rFonts w:ascii="Times New Roman" w:hAnsi="Times New Roman" w:eastAsia="Calibri"/>
          <w:sz w:val="28"/>
          <w:szCs w:val="28"/>
          <w:lang w:eastAsia="en-US"/>
        </w:rPr>
        <w:tab/>
        <w:t xml:space="preserve">№ ___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г. Казань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240" w:lineRule="auto"/>
        <w:ind w:right="5102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highlight w:val="none"/>
        </w:rPr>
      </w:r>
      <w:bookmarkStart w:id="2" w:name="_Hlk164337727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 внесении изменений в постановление Кабинета Министров Республики Татарстан от 16.02.2021 № 84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Об условиях оплаты труда работников государственного учреждения службы занятости населения Республики Татарстан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»</w:t>
      </w:r>
      <w:bookmarkEnd w:id="2"/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288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Кабинет Министров Республики Татарстан ПОСТАНОВЛЯЕТ: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288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312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1. Внести в </w:t>
      </w:r>
      <w:hyperlink r:id="rId9" w:tooltip="https://login.consultant.ru/link/?req=doc&amp;base=RLAW363&amp;n=158902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  <w:highlight w:val="none"/>
          </w:rPr>
          <w:t xml:space="preserve">постановление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Кабинета Министров Республики Татарстан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т 16.02.2021 № 84 «Об условиях оплаты труда работников государственного учреждения службы занятости населения Республики Татарстан» (с изменениями, внесенными постановлениями Кабинета Министров Республики Татарстан от 08.06.2021 № 436, от 26.07.2021 № 645,</w:t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от 22.09.2022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№ 1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027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, от 18.04.2023 </w:t>
      </w:r>
      <w:hyperlink r:id="rId10" w:tooltip="https://login.consultant.ru/link/?req=doc&amp;base=RLAW363&amp;n=174072&amp;dst=100005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  <w:highlight w:val="none"/>
          </w:rPr>
          <w:t xml:space="preserve">№ 488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, от 10.06.2024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№ 414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.202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№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17.0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4.202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№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239,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от 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.09.2025 № 707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следующие изменения: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312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 Положении</w:t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об условиях оплаты труда работников государственного учреждения службы занятости населения Республики Татарстан, утвержденном указанным постановлением: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312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раздел II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изложить в следующей редакции: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312" w:lineRule="auto"/>
        <w:ind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«II. Определение базовых окладов работников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государственного учреждения службы занятости населения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Республики Татарстан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312" w:lineRule="auto"/>
        <w:ind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312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2.1. Базовые оклады работников государственного учреждения службы занятости населения Республики Татарстан устанавливаются: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312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для работников, занимающих должности «инспектор центра занятости населения», «профконсультант», «специалист центра занятости населения», в разме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48 540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ублей;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312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для работников, занимающих должности «инспектор центра занятости населения II категории», «профконсультант II категории», «специалист по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профориент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ации», «специалист по социальной и психологической адаптации граждан», в размере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48 550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лей;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312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для работников, занимающих должности «инспект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ор центра занятости населения I категории», «профконсультант I категории», в размер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48 550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рублей;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312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для работников, занимающих должность «старший инспе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ктор центра занятости населения», в размер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9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390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рублей;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312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для работников, занимающих должности «ведущий профконсультант», «ведущий инспектор центра занятости населения», «ведущий специалист центра занятости населения», в размере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49 610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рубл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ей;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312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для работников, занимающих должности «главный специалист центра занятости населения», «главный инспектор центра занятости населения», в размере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49 980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рублей;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312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для работников, занимающих должность «заведующий сектором центра занятости населения», в размере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50 100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ублей;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312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для работников, занимающих должность «заместитель начальника отдела центра занятости населения»,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 размере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50 250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рублей;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312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для работников, занимающих должность «начальник отдела центра занятости населения», в размере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50 700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рублей;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312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для работников, занимающих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должность «заместитель начальника Управления центра занятости населения», в размере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51 590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рублей;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312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для работников, занимающих должность «начальник Управления центра занятости населения», в размере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59 580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рублей;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312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для работников, занимающих должность «заместитель начальника департамента центра занятости населения», в размере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en-US"/>
        </w:rPr>
        <w:t xml:space="preserve">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9 990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рублей;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312" w:lineRule="auto"/>
        <w:ind w:firstLine="54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для работников, занимающих должность «начальник департамента центра занятости населения», в разм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ере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63 000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рублей.»;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312" w:lineRule="auto"/>
        <w:ind w:firstLine="54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абзаце первом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пункт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7.2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цифры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76 500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» заменить цифрами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84 150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312" w:lineRule="auto"/>
        <w:ind w:firstLine="54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раздел II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Положени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об условиях оплаты труда работников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профессиональных квалификационных групп общеотраслевых профессий рабочих и общеотраслевых должностей руководителей, специалистов и служащих государственного учреждения службы занятости населения Республики Татарстан, утвержденно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указанным постановлением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изложить в следующей редакции: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312" w:lineRule="auto"/>
        <w:ind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«II. Определение базовых окладов работников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профессиональных квалификационных групп общеотраслевых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профессий рабочих и общеотраслевых должностей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руководителей, специалистов и служащих государственного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учреждения службы занятости населения Республики Татарстан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312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312" w:lineRule="auto"/>
        <w:ind w:firstLine="54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2.1. Базовые оклады работников профессиональных квалификационных групп общеотраслевых профессий рабочих государственного учреждения службы занятости населения Республики Татарстан устанавливаются в следующих размерах: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tbl>
      <w:tblPr>
        <w:tblW w:w="0" w:type="auto"/>
        <w:tblCellMar>
          <w:left w:w="62" w:type="dxa"/>
          <w:top w:w="102" w:type="dxa"/>
          <w:right w:w="62" w:type="dxa"/>
          <w:bottom w:w="102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346"/>
        <w:gridCol w:w="4575"/>
      </w:tblGrid>
      <w:tr>
        <w:trPr>
          <w:trHeight w:val="627"/>
        </w:trPr>
        <w:tc>
          <w:tcPr>
            <w:tcBorders/>
            <w:tcW w:w="5346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75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Размер базового оклада в месяц, рублей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rPr>
          <w:trHeight w:val="130"/>
        </w:trPr>
        <w:tc>
          <w:tcPr>
            <w:tcBorders/>
            <w:tcW w:w="5346" w:type="dxa"/>
            <w:vMerge w:val="restart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val="en-US"/>
              </w:rPr>
              <w:t xml:space="preserve">1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</w:r>
          </w:p>
        </w:tc>
        <w:tc>
          <w:tcPr>
            <w:tcBorders/>
            <w:tcW w:w="4575" w:type="dxa"/>
            <w:vMerge w:val="restart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val="en-US"/>
              </w:rPr>
              <w:t xml:space="preserve">2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</w:r>
          </w:p>
        </w:tc>
      </w:tr>
      <w:tr>
        <w:trPr>
          <w:trHeight w:val="627"/>
        </w:trPr>
        <w:tc>
          <w:tcPr>
            <w:gridSpan w:val="2"/>
            <w:tcBorders/>
            <w:tcW w:w="9921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Профессиональная квалификационная группа «Общеотраслевые профессии рабочих первого уровня»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rPr>
          <w:trHeight w:val="311"/>
        </w:trPr>
        <w:tc>
          <w:tcPr>
            <w:tcBorders/>
            <w:tcW w:w="5346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75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undefined" w:hAnsi="undefined" w:eastAsia="undefined" w:cs="undefined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val="en-US"/>
              </w:rPr>
              <w:t xml:space="preserve">2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val="ru-RU"/>
              </w:rPr>
              <w:t xml:space="preserve">8 220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11"/>
        </w:trPr>
        <w:tc>
          <w:tcPr>
            <w:tcBorders/>
            <w:tcW w:w="5346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75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val="ru-RU"/>
              </w:rPr>
              <w:t xml:space="preserve">28 460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627"/>
        </w:trPr>
        <w:tc>
          <w:tcPr>
            <w:gridSpan w:val="2"/>
            <w:tcBorders/>
            <w:tcW w:w="9921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Профессиональная квалификационная группа «Общеотраслевые профессии рабочих второго уровня»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rPr>
          <w:trHeight w:val="311"/>
        </w:trPr>
        <w:tc>
          <w:tcPr>
            <w:tcBorders/>
            <w:tcW w:w="5346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75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val="ru-RU"/>
              </w:rPr>
              <w:t xml:space="preserve">28 640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11"/>
        </w:trPr>
        <w:tc>
          <w:tcPr>
            <w:tcBorders/>
            <w:tcW w:w="5346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75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val="ru-RU"/>
              </w:rPr>
              <w:t xml:space="preserve">28 850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11"/>
        </w:trPr>
        <w:tc>
          <w:tcPr>
            <w:tcBorders/>
            <w:tcW w:w="5346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75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val="ru-RU"/>
              </w:rPr>
              <w:t xml:space="preserve">29 070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11"/>
        </w:trPr>
        <w:tc>
          <w:tcPr>
            <w:tcBorders/>
            <w:tcW w:w="5346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75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  <w:t xml:space="preserve">29 720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</w:tc>
      </w:tr>
    </w:tbl>
    <w:p>
      <w:pPr>
        <w:widowControl w:val="false"/>
        <w:pBdr/>
        <w:spacing w:after="0" w:line="240" w:lineRule="auto"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312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2.2. Базовые оклады работников профессиональных квалификационных групп общеотраслевых должностей руководителей, специалистов и служащих государственного учреждения службы занятости населения Республики Татарстан устанавливаются в следующих размерах: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tbl>
      <w:tblPr>
        <w:tblW w:w="0" w:type="auto"/>
        <w:tblCellMar>
          <w:left w:w="62" w:type="dxa"/>
          <w:top w:w="102" w:type="dxa"/>
          <w:right w:w="62" w:type="dxa"/>
          <w:bottom w:w="102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4819"/>
        <w:gridCol w:w="5102"/>
      </w:tblGrid>
      <w:tr>
        <w:trPr>
          <w:trHeight w:val="245"/>
        </w:trPr>
        <w:tc>
          <w:tcPr>
            <w:tcBorders>
              <w:bottom w:val="none" w:color="000000" w:sz="4" w:space="0"/>
            </w:tcBorders>
            <w:tcW w:w="481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bottom w:val="none" w:color="000000" w:sz="4" w:space="0"/>
            </w:tcBorders>
            <w:tcW w:w="5102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Размер базового оклада в месяц, рублей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</w:tbl>
    <w:tbl>
      <w:tblPr>
        <w:tblW w:w="0" w:type="auto"/>
        <w:tblCellMar>
          <w:left w:w="62" w:type="dxa"/>
          <w:top w:w="102" w:type="dxa"/>
          <w:right w:w="62" w:type="dxa"/>
          <w:bottom w:w="102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819"/>
        <w:gridCol w:w="5102"/>
      </w:tblGrid>
      <w:tr>
        <w:trPr>
          <w:trHeight w:val="245"/>
          <w:tblHeader/>
        </w:trPr>
        <w:tc>
          <w:tcPr>
            <w:tcBorders/>
            <w:tcW w:w="481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102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rPr>
          <w:trHeight w:val="245"/>
        </w:trPr>
        <w:tc>
          <w:tcPr>
            <w:gridSpan w:val="2"/>
            <w:tcBorders/>
            <w:tcW w:w="9921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Профессиональная квалификационная группа «Общеотраслевые должности служащих первого уровня»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rPr>
          <w:trHeight w:val="245"/>
        </w:trPr>
        <w:tc>
          <w:tcPr>
            <w:tcBorders/>
            <w:tcW w:w="481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102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val="ru-RU"/>
              </w:rPr>
              <w:t xml:space="preserve">28 220
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255"/>
        </w:trPr>
        <w:tc>
          <w:tcPr>
            <w:tcBorders/>
            <w:tcW w:w="481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102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  <w:t xml:space="preserve">28 460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255"/>
        </w:trPr>
        <w:tc>
          <w:tcPr>
            <w:gridSpan w:val="2"/>
            <w:tcBorders/>
            <w:tcW w:w="9921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Профессиональная квалификационная группа «Общеотраслевые должности служащих второго уровня»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rPr>
          <w:trHeight w:val="255"/>
        </w:trPr>
        <w:tc>
          <w:tcPr>
            <w:tcBorders/>
            <w:tcW w:w="481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102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  <w:t xml:space="preserve">28 640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255"/>
        </w:trPr>
        <w:tc>
          <w:tcPr>
            <w:tcBorders/>
            <w:tcW w:w="481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102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  <w:t xml:space="preserve">28 850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255"/>
        </w:trPr>
        <w:tc>
          <w:tcPr>
            <w:tcBorders/>
            <w:tcW w:w="481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102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val="ru-RU"/>
              </w:rPr>
              <w:t xml:space="preserve">29 070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255"/>
        </w:trPr>
        <w:tc>
          <w:tcPr>
            <w:tcBorders/>
            <w:tcW w:w="481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102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val="en-US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val="ru-RU"/>
              </w:rPr>
              <w:t xml:space="preserve">9 330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255"/>
        </w:trPr>
        <w:tc>
          <w:tcPr>
            <w:tcBorders/>
            <w:tcW w:w="481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Пятый квалификационный уровень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102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val="en-US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val="ru-RU"/>
              </w:rPr>
              <w:t xml:space="preserve">9 560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255"/>
        </w:trPr>
        <w:tc>
          <w:tcPr>
            <w:gridSpan w:val="2"/>
            <w:tcBorders/>
            <w:tcW w:w="9921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Профессиональная квалификационная группа «Общеотраслевые должности служащих третьего уровня»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rPr>
          <w:trHeight w:val="255"/>
        </w:trPr>
        <w:tc>
          <w:tcPr>
            <w:tcBorders/>
            <w:tcW w:w="481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102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val="en-US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val="ru-RU"/>
              </w:rPr>
              <w:t xml:space="preserve">9 790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255"/>
        </w:trPr>
        <w:tc>
          <w:tcPr>
            <w:tcBorders/>
            <w:tcW w:w="481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102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  <w:t xml:space="preserve">30 030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255"/>
        </w:trPr>
        <w:tc>
          <w:tcPr>
            <w:tcBorders/>
            <w:tcW w:w="481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102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val="ru-RU"/>
              </w:rPr>
              <w:t xml:space="preserve">30 320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255"/>
        </w:trPr>
        <w:tc>
          <w:tcPr>
            <w:tcBorders/>
            <w:tcW w:w="481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102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val="ru-RU"/>
              </w:rPr>
              <w:t xml:space="preserve">30 560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255"/>
        </w:trPr>
        <w:tc>
          <w:tcPr>
            <w:tcBorders/>
            <w:tcW w:w="481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Пятый квалификационный уровень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102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val="ru-RU"/>
              </w:rPr>
              <w:t xml:space="preserve">30 800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255"/>
        </w:trPr>
        <w:tc>
          <w:tcPr>
            <w:gridSpan w:val="2"/>
            <w:tcBorders/>
            <w:tcW w:w="9921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Профессиональная квалификационная группа «Общеотраслевые должности служащих четвертого уровня»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rPr>
          <w:trHeight w:val="255"/>
        </w:trPr>
        <w:tc>
          <w:tcPr>
            <w:tcBorders/>
            <w:tcW w:w="481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102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  <w:t xml:space="preserve">31 950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255"/>
        </w:trPr>
        <w:tc>
          <w:tcPr>
            <w:tcBorders/>
            <w:tcW w:w="481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102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val="ru-RU"/>
              </w:rPr>
              <w:t xml:space="preserve">32 190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255"/>
        </w:trPr>
        <w:tc>
          <w:tcPr>
            <w:tcBorders/>
            <w:tcW w:w="4819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highlight w:val="none"/>
                <w:lang w:eastAsia="ru-RU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5102" w:type="dxa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lang w:val="ru-RU"/>
              </w:rPr>
              <w:t xml:space="preserve">32 430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</w:tc>
      </w:tr>
    </w:tbl>
    <w:p>
      <w:pPr>
        <w:widowControl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40" w:lineRule="auto"/>
        <w:ind w:firstLine="709"/>
        <w:rPr>
          <w:rFonts w:ascii="Times New Roman" w:hAnsi="Times New Roman" w:cs="Times New Roman" w:eastAsiaTheme="minorEastAsia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 w:eastAsiaTheme="minorEastAsia"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 w:eastAsiaTheme="minorEastAsia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 w:eastAsiaTheme="minorEastAsia"/>
          <w:color w:val="000000" w:themeColor="text1"/>
          <w:sz w:val="28"/>
          <w:szCs w:val="28"/>
          <w:highlight w:val="none"/>
        </w:rPr>
      </w:r>
    </w:p>
    <w:p>
      <w:pPr>
        <w:widowControl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12" w:lineRule="auto"/>
        <w:ind w:firstLine="709"/>
        <w:jc w:val="both"/>
        <w:rPr>
          <w:rFonts w:ascii="Times New Roman" w:hAnsi="Times New Roman" w:cs="Times New Roman" w:eastAsiaTheme="minorEastAsia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 w:eastAsiaTheme="minorEastAsia"/>
          <w:color w:val="000000" w:themeColor="text1"/>
          <w:sz w:val="28"/>
          <w:szCs w:val="28"/>
          <w:highlight w:val="none"/>
          <w:lang w:eastAsia="ru-RU"/>
        </w:rPr>
        <w:t xml:space="preserve">2.3. Соответствие должности и профессии работника квалификационным уровням профе</w:t>
      </w:r>
      <w:r>
        <w:rPr>
          <w:rFonts w:ascii="Times New Roman" w:hAnsi="Times New Roman" w:cs="Times New Roman" w:eastAsiaTheme="minorEastAsia"/>
          <w:color w:val="000000" w:themeColor="text1"/>
          <w:sz w:val="28"/>
          <w:szCs w:val="28"/>
          <w:highlight w:val="none"/>
          <w:lang w:eastAsia="ru-RU"/>
        </w:rPr>
        <w:t xml:space="preserve">ссиональных квалификационных групп общеотраслевых профессий рабочих и общеотраслевых должностей руководителей, специалистов и служащих </w:t>
      </w:r>
      <w:r>
        <w:rPr>
          <w:rFonts w:ascii="Times New Roman" w:hAnsi="Times New Roman" w:cs="Times New Roman" w:eastAsiaTheme="minorEastAsia"/>
          <w:color w:val="000000" w:themeColor="text1"/>
          <w:sz w:val="28"/>
          <w:szCs w:val="28"/>
          <w:highlight w:val="none"/>
        </w:rPr>
        <w:t xml:space="preserve">устанавливается</w:t>
      </w:r>
      <w:r>
        <w:rPr>
          <w:rFonts w:ascii="Times New Roman" w:hAnsi="Times New Roman" w:cs="Times New Roman" w:eastAsiaTheme="minorEastAsia"/>
          <w:color w:val="000000" w:themeColor="text1"/>
          <w:sz w:val="28"/>
          <w:szCs w:val="28"/>
          <w:highlight w:val="none"/>
          <w:lang w:eastAsia="ru-RU"/>
        </w:rPr>
        <w:t xml:space="preserve"> согласно нормативным правовым актам Министерства здравоохранения и социального развития Российской Федерации.</w:t>
      </w:r>
      <w:r>
        <w:rPr>
          <w:rFonts w:ascii="Times New Roman" w:hAnsi="Times New Roman" w:cs="Times New Roman" w:eastAsiaTheme="minorEastAsia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 w:eastAsiaTheme="minorEastAsia"/>
          <w:color w:val="000000" w:themeColor="text1"/>
          <w:sz w:val="28"/>
          <w:szCs w:val="28"/>
          <w:highlight w:val="none"/>
        </w:rPr>
      </w:r>
    </w:p>
    <w:p>
      <w:pPr>
        <w:widowControl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12" w:lineRule="auto"/>
        <w:ind w:firstLine="709"/>
        <w:jc w:val="both"/>
        <w:rPr>
          <w:rFonts w:ascii="Times New Roman" w:hAnsi="Times New Roman" w:cs="Times New Roman" w:eastAsiaTheme="minorEastAsia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 w:eastAsiaTheme="minorEastAsia"/>
          <w:color w:val="000000" w:themeColor="text1"/>
          <w:sz w:val="28"/>
          <w:szCs w:val="28"/>
          <w:highlight w:val="none"/>
          <w:lang w:eastAsia="ru-RU"/>
        </w:rPr>
        <w:t xml:space="preserve">2.4. Оплата труда работников, занятых по совместительству, а также на условиях неполного рабочего времени, производитс</w:t>
      </w:r>
      <w:r>
        <w:rPr>
          <w:rFonts w:ascii="Times New Roman" w:hAnsi="Times New Roman" w:cs="Times New Roman" w:eastAsiaTheme="minorEastAsia"/>
          <w:color w:val="000000" w:themeColor="text1"/>
          <w:sz w:val="28"/>
          <w:szCs w:val="28"/>
          <w:highlight w:val="none"/>
          <w:lang w:eastAsia="ru-RU"/>
        </w:rPr>
        <w:t xml:space="preserve">я пропорционально отработанному времени либо в зависимости от выполненного объема работ. 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должности.»</w:t>
      </w:r>
      <w:r>
        <w:rPr>
          <w:rFonts w:ascii="Times New Roman" w:hAnsi="Times New Roman" w:cs="Times New Roman" w:eastAsiaTheme="minorEastAsia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 w:eastAsiaTheme="minorEastAsia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 w:eastAsiaTheme="minorEastAsia"/>
          <w:color w:val="000000" w:themeColor="text1"/>
          <w:sz w:val="28"/>
          <w:szCs w:val="28"/>
          <w:highlight w:val="none"/>
        </w:rPr>
      </w:r>
    </w:p>
    <w:p>
      <w:pPr>
        <w:widowControl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312" w:lineRule="auto"/>
        <w:ind w:firstLine="709"/>
        <w:jc w:val="both"/>
        <w:rPr>
          <w:rFonts w:ascii="Times New Roman" w:hAnsi="Times New Roman" w:cs="Times New Roman" w:eastAsiaTheme="minorEastAsia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2. Установить, что настоящее постановление вступает в силу с 1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ян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варя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27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года.</w:t>
      </w:r>
      <w:r>
        <w:rPr>
          <w:rFonts w:ascii="Times New Roman" w:hAnsi="Times New Roman" w:cs="Times New Roman" w:eastAsiaTheme="minorEastAsia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 w:eastAsiaTheme="minorEastAsia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288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288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widowControl w:val="false"/>
        <w:pBdr/>
        <w:spacing w:after="0" w:line="288" w:lineRule="auto"/>
        <w:ind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Премьер-министр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widowControl w:val="false"/>
        <w:pBdr/>
        <w:spacing w:after="0" w:line="288" w:lineRule="auto"/>
        <w:ind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Республики Татарстан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ab/>
        <w:tab/>
        <w:tab/>
        <w:tab/>
        <w:tab/>
        <w:tab/>
        <w:tab/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А.В.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Песошин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ectPr>
          <w:headerReference w:type="default" r:id="rId8"/>
          <w:footnotePr/>
          <w:endnotePr/>
          <w:type w:val="nextPage"/>
          <w:pgSz w:h="16838" w:orient="portrait" w:w="11906"/>
          <w:pgMar w:top="1134" w:right="850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ПОЯСНИТЕЛЬНАЯ ЗАПИСКА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к проекту постановления Кабинета Министров Республики Татарстан </w:t>
      </w:r>
      <w:r>
        <w:rPr>
          <w:rFonts w:ascii="Times New Roman" w:hAnsi="Times New Roman" w:cs="Times New Roman"/>
          <w:sz w:val="28"/>
          <w:szCs w:val="28"/>
          <w:highlight w:val="none"/>
        </w:rPr>
        <w:br/>
      </w:r>
      <w:r>
        <w:rPr>
          <w:rFonts w:ascii="Times New Roman" w:hAnsi="Times New Roman" w:eastAsia="Calibri" w:cs="Times New Roman"/>
          <w:bCs/>
          <w:sz w:val="28"/>
          <w:szCs w:val="28"/>
          <w:highlight w:val="none"/>
        </w:rPr>
        <w:t xml:space="preserve">«О внесении изменений в постановление Кабинета Министров Республики Татарстан от 16.02.2021 № 84 «Об условиях оплаты труда работников государственного учреждения службы занятости населения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center"/>
        <w:rPr>
          <w:highlight w:val="none"/>
        </w:rPr>
      </w:pPr>
      <w:r>
        <w:rPr>
          <w:rFonts w:ascii="Times New Roman" w:hAnsi="Times New Roman" w:eastAsia="Calibri" w:cs="Times New Roman"/>
          <w:bCs/>
          <w:sz w:val="28"/>
          <w:szCs w:val="28"/>
          <w:highlight w:val="none"/>
        </w:rPr>
        <w:t xml:space="preserve">Республики Татарстан»</w:t>
      </w:r>
      <w:r>
        <w:rPr>
          <w:highlight w:val="none"/>
        </w:rPr>
      </w:r>
      <w:r>
        <w:rPr>
          <w:highlight w:val="non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288" w:lineRule="auto"/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Проект постановления «</w:t>
      </w:r>
      <w:r>
        <w:rPr>
          <w:rFonts w:ascii="Times New Roman" w:hAnsi="Times New Roman" w:eastAsia="Calibri" w:cs="Times New Roman"/>
          <w:bCs/>
          <w:sz w:val="28"/>
          <w:szCs w:val="28"/>
          <w:highlight w:val="none"/>
        </w:rPr>
        <w:t xml:space="preserve">О внесении изменений в постановление Кабинета Министров Республики Татарстан от 16.02.2021 № 84 «Об условиях оплаты труда работников государственного учреждения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службы занятости населения Республики Татарстан»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разработан во исполнение 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поручения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 Раиса Республики Татарст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а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  <w:t xml:space="preserve">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от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0.0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7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.202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6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№ 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3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5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982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-МР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о повышени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заработной платы работников государственны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х и муниципальных учреждений бюджетной сферы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88" w:lineRule="auto"/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Проектом постановления вносятся изменения: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88" w:lineRule="auto"/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Положение об условиях оплаты труда работников государственного учреждения службы занятости населения Республики Татарстан, в части 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вели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ени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я базовых окладов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работников государственного учреждения службы занятости населения Республики Татарстан, и 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величе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ния размера базового оклада руководителя государственного учреждения службы занятости населения Республики Татарстан;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88" w:lineRule="auto"/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 Положение об условиях оплаты труда работников профессиональных квалификационных групп общ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еотраслевых профессий рабочих и общеотраслевых должностей руководителей, специалистов и служащих государственного учреждения службы занятости населения Республики Татарстан, в части 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величени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я базовых окладов работников профессиональных квалификационных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групп общеотраслевых профессий рабочих и общеотраслевых должностей руководителей, специалистов и служащих государственного учреждения службы занятости населения Республики Татарстан.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88" w:lineRule="auto"/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Данные изменения не приведут к ухудшению условий оплаты труда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работников государственного учреждения службы занятости населения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Республики Татарстан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 w14:paraId="17BB9DC2">
      <w:pPr>
        <w:pStyle w:val="926"/>
        <w:pBdr/>
        <w:shd w:val="clear" w:color="auto" w:fill="ffffff" w:themeFill="background1"/>
        <w:spacing w:line="288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 w:cs="Arial"/>
          <w:sz w:val="28"/>
          <w:szCs w:val="28"/>
          <w:highlight w:val="none"/>
        </w:rPr>
        <w:t xml:space="preserve">Принятие данного проекта постановления не потребует выделения дополнительных средств из бюджета Республики Татарстан.</w:t>
      </w:r>
      <w:r/>
    </w:p>
    <w:p w14:paraId="62476365">
      <w:pPr>
        <w:pStyle w:val="737"/>
        <w:pBdr/>
        <w:spacing w:after="0" w:line="288" w:lineRule="auto"/>
        <w:ind w:firstLine="708"/>
        <w:jc w:val="both"/>
        <w:rPr/>
      </w:pPr>
      <w:r>
        <w:rPr>
          <w:rFonts w:ascii="Times New Roman" w:hAnsi="Times New Roman" w:cs="Arial"/>
          <w:sz w:val="28"/>
          <w:szCs w:val="28"/>
          <w:highlight w:val="none"/>
        </w:rPr>
        <w:t xml:space="preserve">Необходимость в проведении оценки регулирующего воздействия проекта постановления Кабинета Министров Республики Татарстан</w:t>
      </w:r>
      <w:r>
        <w:rPr>
          <w:rFonts w:ascii="Times New Roman" w:hAnsi="Times New Roman" w:cs="Arial"/>
          <w:sz w:val="28"/>
          <w:szCs w:val="28"/>
          <w:highlight w:val="none"/>
        </w:rPr>
        <w:t xml:space="preserve"> отсутствует</w:t>
      </w:r>
      <w:r>
        <w:rPr>
          <w:rFonts w:ascii="Times New Roman" w:hAnsi="Times New Roman" w:cs="Arial"/>
          <w:sz w:val="28"/>
          <w:szCs w:val="28"/>
          <w:highlight w:val="none"/>
        </w:rPr>
        <w:t xml:space="preserve">.</w:t>
      </w:r>
      <w:r/>
    </w:p>
    <w:p w14:paraId="4D2CC371">
      <w:pPr>
        <w:pStyle w:val="737"/>
        <w:pBdr/>
        <w:spacing w:after="0" w:line="288" w:lineRule="auto"/>
        <w:ind w:firstLine="708"/>
        <w:jc w:val="both"/>
        <w:rPr>
          <w:rFonts w:ascii="Times New Roman" w:hAnsi="Times New Roman" w:cs="Arial"/>
          <w:sz w:val="28"/>
          <w:szCs w:val="28"/>
          <w:highlight w:val="none"/>
        </w:rPr>
      </w:pPr>
      <w:r>
        <w:rPr>
          <w:rFonts w:ascii="Times New Roman" w:hAnsi="Times New Roman" w:cs="Arial"/>
          <w:sz w:val="28"/>
          <w:szCs w:val="28"/>
          <w:highlight w:val="none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 w:cs="Arial"/>
          <w:sz w:val="28"/>
          <w:szCs w:val="28"/>
          <w:highlight w:val="none"/>
        </w:rPr>
      </w:r>
      <w:r>
        <w:rPr>
          <w:rFonts w:ascii="Times New Roman" w:hAnsi="Times New Roman" w:cs="Arial"/>
          <w:sz w:val="28"/>
          <w:szCs w:val="28"/>
          <w:highlight w:val="none"/>
        </w:rPr>
      </w:r>
    </w:p>
    <w:p w14:paraId="211C91B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88" w:lineRule="auto"/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sectPr>
      <w:footnotePr/>
      <w:endnotePr/>
      <w:type w:val="nextPage"/>
      <w:pgSz w:h="16838" w:orient="portrait" w:w="11906"/>
      <w:pgMar w:top="1134" w:right="850" w:bottom="1134" w:left="1134" w:header="708" w:footer="708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undefined">
    <w:panose1 w:val="05040102010807070707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2"/>
      <w:pBdr/>
      <w:spacing/>
      <w:ind/>
      <w:jc w:val="center"/>
      <w:rPr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4</w:t>
    </w:r>
    <w:r>
      <w:fldChar w:fldCharType="end"/>
    </w:r>
    <w:r/>
  </w:p>
  <w:p>
    <w:pPr>
      <w:pStyle w:val="902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9">
    <w:name w:val="Placeholder Text"/>
    <w:basedOn w:val="747"/>
    <w:uiPriority w:val="99"/>
    <w:semiHidden/>
    <w:pPr>
      <w:pBdr/>
      <w:spacing/>
      <w:ind/>
    </w:pPr>
    <w:rPr>
      <w:color w:val="666666"/>
    </w:rPr>
  </w:style>
  <w:style w:type="character" w:styleId="720">
    <w:name w:val="Heading 1 Char"/>
    <w:basedOn w:val="747"/>
    <w:link w:val="7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21">
    <w:name w:val="Heading 2 Char"/>
    <w:basedOn w:val="747"/>
    <w:link w:val="7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22">
    <w:name w:val="Heading 3 Char"/>
    <w:basedOn w:val="747"/>
    <w:link w:val="7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23">
    <w:name w:val="Heading 4 Char"/>
    <w:basedOn w:val="747"/>
    <w:link w:val="7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24">
    <w:name w:val="Heading 5 Char"/>
    <w:basedOn w:val="747"/>
    <w:link w:val="7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25">
    <w:name w:val="Heading 6 Char"/>
    <w:basedOn w:val="747"/>
    <w:link w:val="7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26">
    <w:name w:val="Heading 7 Char"/>
    <w:basedOn w:val="747"/>
    <w:link w:val="7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27">
    <w:name w:val="Heading 8 Char"/>
    <w:basedOn w:val="747"/>
    <w:link w:val="7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28">
    <w:name w:val="Heading 9 Char"/>
    <w:basedOn w:val="747"/>
    <w:link w:val="7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29">
    <w:name w:val="Title Char"/>
    <w:basedOn w:val="747"/>
    <w:link w:val="88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30">
    <w:name w:val="Subtitle Char"/>
    <w:basedOn w:val="747"/>
    <w:link w:val="88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31">
    <w:name w:val="Quote Char"/>
    <w:basedOn w:val="747"/>
    <w:link w:val="88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732">
    <w:name w:val="Intense Quote Char"/>
    <w:basedOn w:val="747"/>
    <w:link w:val="89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33">
    <w:name w:val="Header Char"/>
    <w:basedOn w:val="747"/>
    <w:link w:val="902"/>
    <w:uiPriority w:val="99"/>
    <w:pPr>
      <w:pBdr/>
      <w:spacing/>
      <w:ind/>
    </w:pPr>
  </w:style>
  <w:style w:type="character" w:styleId="734">
    <w:name w:val="Footer Char"/>
    <w:basedOn w:val="747"/>
    <w:link w:val="904"/>
    <w:uiPriority w:val="99"/>
    <w:pPr>
      <w:pBdr/>
      <w:spacing/>
      <w:ind/>
    </w:pPr>
  </w:style>
  <w:style w:type="character" w:styleId="735">
    <w:name w:val="Footnote Text Char"/>
    <w:basedOn w:val="747"/>
    <w:link w:val="907"/>
    <w:uiPriority w:val="99"/>
    <w:semiHidden/>
    <w:pPr>
      <w:pBdr/>
      <w:spacing/>
      <w:ind/>
    </w:pPr>
    <w:rPr>
      <w:sz w:val="20"/>
      <w:szCs w:val="20"/>
    </w:rPr>
  </w:style>
  <w:style w:type="character" w:styleId="736">
    <w:name w:val="Endnote Text Char"/>
    <w:basedOn w:val="747"/>
    <w:link w:val="910"/>
    <w:uiPriority w:val="99"/>
    <w:semiHidden/>
    <w:pPr>
      <w:pBdr/>
      <w:spacing/>
      <w:ind/>
    </w:pPr>
    <w:rPr>
      <w:sz w:val="20"/>
      <w:szCs w:val="20"/>
    </w:rPr>
  </w:style>
  <w:style w:type="paragraph" w:styleId="737" w:default="1">
    <w:name w:val="Normal"/>
    <w:qFormat/>
    <w:pPr>
      <w:pBdr/>
      <w:spacing w:after="200" w:line="276" w:lineRule="auto"/>
      <w:ind/>
    </w:pPr>
  </w:style>
  <w:style w:type="paragraph" w:styleId="738">
    <w:name w:val="Heading 1"/>
    <w:basedOn w:val="737"/>
    <w:next w:val="737"/>
    <w:link w:val="87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2e74b5" w:themeColor="accent1" w:themeShade="BF"/>
      <w:sz w:val="40"/>
      <w:szCs w:val="40"/>
    </w:rPr>
  </w:style>
  <w:style w:type="paragraph" w:styleId="739">
    <w:name w:val="Heading 2"/>
    <w:basedOn w:val="737"/>
    <w:next w:val="737"/>
    <w:link w:val="87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paragraph" w:styleId="740">
    <w:name w:val="Heading 3"/>
    <w:basedOn w:val="737"/>
    <w:next w:val="737"/>
    <w:link w:val="87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paragraph" w:styleId="741">
    <w:name w:val="Heading 4"/>
    <w:basedOn w:val="737"/>
    <w:next w:val="737"/>
    <w:link w:val="87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2e74b5" w:themeColor="accent1" w:themeShade="BF"/>
    </w:rPr>
  </w:style>
  <w:style w:type="paragraph" w:styleId="742">
    <w:name w:val="Heading 5"/>
    <w:basedOn w:val="737"/>
    <w:next w:val="737"/>
    <w:link w:val="88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2e74b5" w:themeColor="accent1" w:themeShade="BF"/>
    </w:rPr>
  </w:style>
  <w:style w:type="paragraph" w:styleId="743">
    <w:name w:val="Heading 6"/>
    <w:basedOn w:val="737"/>
    <w:next w:val="737"/>
    <w:link w:val="88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44">
    <w:name w:val="Heading 7"/>
    <w:basedOn w:val="737"/>
    <w:next w:val="737"/>
    <w:link w:val="88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45">
    <w:name w:val="Heading 8"/>
    <w:basedOn w:val="737"/>
    <w:next w:val="737"/>
    <w:link w:val="88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46">
    <w:name w:val="Heading 9"/>
    <w:basedOn w:val="737"/>
    <w:next w:val="737"/>
    <w:link w:val="88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47" w:default="1">
    <w:name w:val="Default Paragraph Font"/>
    <w:uiPriority w:val="1"/>
    <w:semiHidden/>
    <w:unhideWhenUsed/>
    <w:pPr>
      <w:pBdr/>
      <w:spacing/>
      <w:ind/>
    </w:pPr>
  </w:style>
  <w:style w:type="table" w:styleId="74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49" w:default="1">
    <w:name w:val="No List"/>
    <w:uiPriority w:val="99"/>
    <w:semiHidden/>
    <w:unhideWhenUsed/>
    <w:pPr>
      <w:pBdr/>
      <w:spacing/>
      <w:ind/>
    </w:pPr>
  </w:style>
  <w:style w:type="table" w:styleId="750">
    <w:name w:val="Table Grid"/>
    <w:basedOn w:val="748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Table Grid Light"/>
    <w:basedOn w:val="748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Plain Table 1"/>
    <w:basedOn w:val="748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Plain Table 2"/>
    <w:basedOn w:val="748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Plain Table 3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Plain Table 4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Plain Table 5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1 Light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Grid Table 1 Light - Accent 1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Grid Table 1 Light - Accent 2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Grid Table 1 Light - Accent 3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Grid Table 1 Light - Accent 4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Grid Table 1 Light - Accent 5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Grid Table 1 Light - Accent 6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2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Grid Table 2 - Accent 1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Grid Table 2 - Accent 2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Grid Table 2 - Accent 3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Grid Table 2 - Accent 4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Grid Table 2 - Accent 5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Grid Table 2 - Accent 6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3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Grid Table 3 - Accent 1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Grid Table 3 - Accent 2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Grid Table 3 - Accent 3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Grid Table 3 - Accent 4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Grid Table 3 - Accent 5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Grid Table 3 - Accent 6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4"/>
    <w:basedOn w:val="74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Grid Table 4 - Accent 1"/>
    <w:basedOn w:val="74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8a2d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4 - Accent 2"/>
    <w:basedOn w:val="74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4 - Accent 3"/>
    <w:basedOn w:val="74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4 - Accent 4"/>
    <w:basedOn w:val="74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4 - Accent 5"/>
    <w:basedOn w:val="74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4 - Accent 6"/>
    <w:basedOn w:val="74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5 Dark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5 Dark- Accent 1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5 Dark - Accent 2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5 Dark - Accent 3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5 Dark- Accent 4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5 Dark - Accent 5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5 Dark - Accent 6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6 Colorful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6 Colorful - Accent 1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6 Colorful - Accent 2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6 Colorful - Accent 3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6 Colorful - Accent 4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6 Colorful - Accent 5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6 Colorful - Accent 6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7 Colorful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7 Colorful - Accent 1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7 Colorful - Accent 2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7 Colorful - Accent 3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7 Colorful - Accent 4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7 Colorful - Accent 5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7 Colorful - Accent 6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1 Light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List Table 1 Light - Accent 1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List Table 1 Light - Accent 2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List Table 1 Light - Accent 3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List Table 1 Light - Accent 4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List Table 1 Light - Accent 5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List Table 1 Light - Accent 6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2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List Table 2 - Accent 1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List Table 2 - Accent 2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List Table 2 - Accent 3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List Table 2 - Accent 4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st Table 2 - Accent 5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st Table 2 - Accent 6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3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List Table 3 - Accent 1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List Table 3 - Accent 2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List Table 3 - Accent 3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List Table 3 - Accent 4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List Table 3 - Accent 5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List Table 3 - Accent 6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4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List Table 4 - Accent 1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4 - Accent 2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4 - Accent 3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4 - Accent 4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4 - Accent 5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4 - Accent 6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5 Dark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5 Dark - Accent 1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5 Dark - Accent 2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5 Dark - Accent 3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5 Dark - Accent 4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5 Dark - Accent 5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5 Dark - Accent 6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6 Colorful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6 Colorful - Accent 1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6 Colorful - Accent 2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6 Colorful - Accent 3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6 Colorful - Accent 4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6 Colorful - Accent 5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6 Colorful - Accent 6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7 Colorful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7 Colorful - Accent 1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7 Colorful - Accent 2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7 Colorful - Accent 3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7 Colorful - Accent 4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7 Colorful - Accent 5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7 Colorful - Accent 6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ned - Accent"/>
    <w:basedOn w:val="74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ned - Accent 1"/>
    <w:basedOn w:val="74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ned - Accent 2"/>
    <w:basedOn w:val="74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ned - Accent 3"/>
    <w:basedOn w:val="74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ned - Accent 4"/>
    <w:basedOn w:val="74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ned - Accent 5"/>
    <w:basedOn w:val="74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ned - Accent 6"/>
    <w:basedOn w:val="74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Bordered &amp; Lined - Accent"/>
    <w:basedOn w:val="74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Bordered &amp; Lined - Accent 1"/>
    <w:basedOn w:val="74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Bordered &amp; Lined - Accent 2"/>
    <w:basedOn w:val="74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Bordered &amp; Lined - Accent 3"/>
    <w:basedOn w:val="74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Bordered &amp; Lined - Accent 4"/>
    <w:basedOn w:val="74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Bordered &amp; Lined - Accent 5"/>
    <w:basedOn w:val="74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Bordered &amp; Lined - Accent 6"/>
    <w:basedOn w:val="748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Bordered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Bordered - Accent 1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Bordered - Accent 2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Bordered - Accent 3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Bordered - Accent 4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Bordered - Accent 5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Bordered - Accent 6"/>
    <w:basedOn w:val="74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76" w:customStyle="1">
    <w:name w:val="Заголовок 1 Знак"/>
    <w:basedOn w:val="747"/>
    <w:link w:val="738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40"/>
      <w:szCs w:val="40"/>
    </w:rPr>
  </w:style>
  <w:style w:type="character" w:styleId="877" w:customStyle="1">
    <w:name w:val="Заголовок 2 Знак"/>
    <w:basedOn w:val="747"/>
    <w:link w:val="739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character" w:styleId="878" w:customStyle="1">
    <w:name w:val="Заголовок 3 Знак"/>
    <w:basedOn w:val="747"/>
    <w:link w:val="740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character" w:styleId="879" w:customStyle="1">
    <w:name w:val="Заголовок 4 Знак"/>
    <w:basedOn w:val="747"/>
    <w:link w:val="741"/>
    <w:uiPriority w:val="9"/>
    <w:pPr>
      <w:pBdr/>
      <w:spacing/>
      <w:ind/>
    </w:pPr>
    <w:rPr>
      <w:rFonts w:ascii="Arial" w:hAnsi="Arial" w:eastAsia="Arial" w:cs="Arial"/>
      <w:i/>
      <w:iCs/>
      <w:color w:val="2e74b5" w:themeColor="accent1" w:themeShade="BF"/>
    </w:rPr>
  </w:style>
  <w:style w:type="character" w:styleId="880" w:customStyle="1">
    <w:name w:val="Заголовок 5 Знак"/>
    <w:basedOn w:val="747"/>
    <w:link w:val="742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</w:rPr>
  </w:style>
  <w:style w:type="character" w:styleId="881" w:customStyle="1">
    <w:name w:val="Заголовок 6 Знак"/>
    <w:basedOn w:val="747"/>
    <w:link w:val="7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82" w:customStyle="1">
    <w:name w:val="Заголовок 7 Знак"/>
    <w:basedOn w:val="747"/>
    <w:link w:val="7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83" w:customStyle="1">
    <w:name w:val="Заголовок 8 Знак"/>
    <w:basedOn w:val="747"/>
    <w:link w:val="7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84" w:customStyle="1">
    <w:name w:val="Заголовок 9 Знак"/>
    <w:basedOn w:val="747"/>
    <w:link w:val="7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85">
    <w:name w:val="Title"/>
    <w:basedOn w:val="737"/>
    <w:next w:val="737"/>
    <w:link w:val="88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86" w:customStyle="1">
    <w:name w:val="Заголовок Знак"/>
    <w:basedOn w:val="747"/>
    <w:link w:val="88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87">
    <w:name w:val="Subtitle"/>
    <w:basedOn w:val="737"/>
    <w:next w:val="737"/>
    <w:link w:val="88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88" w:customStyle="1">
    <w:name w:val="Подзаголовок Знак"/>
    <w:basedOn w:val="747"/>
    <w:link w:val="88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89">
    <w:name w:val="Quote"/>
    <w:basedOn w:val="737"/>
    <w:next w:val="737"/>
    <w:link w:val="89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90" w:customStyle="1">
    <w:name w:val="Цитата 2 Знак"/>
    <w:basedOn w:val="747"/>
    <w:link w:val="889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91">
    <w:name w:val="List Paragraph"/>
    <w:basedOn w:val="737"/>
    <w:uiPriority w:val="34"/>
    <w:qFormat/>
    <w:pPr>
      <w:pBdr/>
      <w:spacing/>
      <w:ind w:left="720"/>
      <w:contextualSpacing w:val="true"/>
    </w:pPr>
  </w:style>
  <w:style w:type="character" w:styleId="892">
    <w:name w:val="Intense Emphasis"/>
    <w:basedOn w:val="747"/>
    <w:uiPriority w:val="21"/>
    <w:qFormat/>
    <w:pPr>
      <w:pBdr/>
      <w:spacing/>
      <w:ind/>
    </w:pPr>
    <w:rPr>
      <w:i/>
      <w:iCs/>
      <w:color w:val="2e74b5" w:themeColor="accent1" w:themeShade="BF"/>
    </w:rPr>
  </w:style>
  <w:style w:type="paragraph" w:styleId="893">
    <w:name w:val="Intense Quote"/>
    <w:basedOn w:val="737"/>
    <w:next w:val="737"/>
    <w:link w:val="894"/>
    <w:uiPriority w:val="30"/>
    <w:qFormat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after="360" w:before="360"/>
      <w:ind w:right="864" w:left="864"/>
      <w:jc w:val="center"/>
    </w:pPr>
    <w:rPr>
      <w:i/>
      <w:iCs/>
      <w:color w:val="2e74b5" w:themeColor="accent1" w:themeShade="BF"/>
    </w:rPr>
  </w:style>
  <w:style w:type="character" w:styleId="894" w:customStyle="1">
    <w:name w:val="Выделенная цитата Знак"/>
    <w:basedOn w:val="747"/>
    <w:link w:val="893"/>
    <w:uiPriority w:val="30"/>
    <w:pPr>
      <w:pBdr/>
      <w:spacing/>
      <w:ind/>
    </w:pPr>
    <w:rPr>
      <w:i/>
      <w:iCs/>
      <w:color w:val="2e74b5" w:themeColor="accent1" w:themeShade="BF"/>
    </w:rPr>
  </w:style>
  <w:style w:type="character" w:styleId="895">
    <w:name w:val="Intense Reference"/>
    <w:basedOn w:val="747"/>
    <w:uiPriority w:val="32"/>
    <w:qFormat/>
    <w:pPr>
      <w:pBdr/>
      <w:spacing/>
      <w:ind/>
    </w:pPr>
    <w:rPr>
      <w:b/>
      <w:bCs/>
      <w:smallCaps/>
      <w:color w:val="2e74b5" w:themeColor="accent1" w:themeShade="BF"/>
      <w:spacing w:val="5"/>
    </w:rPr>
  </w:style>
  <w:style w:type="paragraph" w:styleId="896">
    <w:name w:val="No Spacing"/>
    <w:basedOn w:val="737"/>
    <w:uiPriority w:val="1"/>
    <w:qFormat/>
    <w:pPr>
      <w:pBdr/>
      <w:spacing w:after="0" w:line="240" w:lineRule="auto"/>
      <w:ind/>
    </w:pPr>
  </w:style>
  <w:style w:type="character" w:styleId="897">
    <w:name w:val="Subtle Emphasis"/>
    <w:basedOn w:val="74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98">
    <w:name w:val="Emphasis"/>
    <w:basedOn w:val="747"/>
    <w:uiPriority w:val="20"/>
    <w:qFormat/>
    <w:pPr>
      <w:pBdr/>
      <w:spacing/>
      <w:ind/>
    </w:pPr>
    <w:rPr>
      <w:i/>
      <w:iCs/>
    </w:rPr>
  </w:style>
  <w:style w:type="character" w:styleId="899">
    <w:name w:val="Strong"/>
    <w:basedOn w:val="747"/>
    <w:uiPriority w:val="22"/>
    <w:qFormat/>
    <w:pPr>
      <w:pBdr/>
      <w:spacing/>
      <w:ind/>
    </w:pPr>
    <w:rPr>
      <w:b/>
      <w:bCs/>
    </w:rPr>
  </w:style>
  <w:style w:type="character" w:styleId="900">
    <w:name w:val="Subtle Reference"/>
    <w:basedOn w:val="74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01">
    <w:name w:val="Book Title"/>
    <w:basedOn w:val="74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02">
    <w:name w:val="Header"/>
    <w:basedOn w:val="737"/>
    <w:link w:val="90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03" w:customStyle="1">
    <w:name w:val="Верхний колонтитул Знак"/>
    <w:basedOn w:val="747"/>
    <w:link w:val="902"/>
    <w:uiPriority w:val="99"/>
    <w:pPr>
      <w:pBdr/>
      <w:spacing/>
      <w:ind/>
    </w:pPr>
  </w:style>
  <w:style w:type="paragraph" w:styleId="904">
    <w:name w:val="Footer"/>
    <w:basedOn w:val="737"/>
    <w:link w:val="905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05" w:customStyle="1">
    <w:name w:val="Нижний колонтитул Знак"/>
    <w:basedOn w:val="747"/>
    <w:link w:val="904"/>
    <w:uiPriority w:val="99"/>
    <w:pPr>
      <w:pBdr/>
      <w:spacing/>
      <w:ind/>
    </w:pPr>
  </w:style>
  <w:style w:type="paragraph" w:styleId="906">
    <w:name w:val="Caption"/>
    <w:basedOn w:val="737"/>
    <w:next w:val="737"/>
    <w:uiPriority w:val="35"/>
    <w:unhideWhenUsed/>
    <w:qFormat/>
    <w:pPr>
      <w:pBdr/>
      <w:spacing w:line="240" w:lineRule="auto"/>
      <w:ind/>
    </w:pPr>
    <w:rPr>
      <w:i/>
      <w:iCs/>
      <w:color w:val="44546a" w:themeColor="text2"/>
      <w:sz w:val="18"/>
      <w:szCs w:val="18"/>
    </w:rPr>
  </w:style>
  <w:style w:type="paragraph" w:styleId="907">
    <w:name w:val="footnote text"/>
    <w:basedOn w:val="737"/>
    <w:link w:val="90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08" w:customStyle="1">
    <w:name w:val="Текст сноски Знак"/>
    <w:basedOn w:val="747"/>
    <w:link w:val="907"/>
    <w:uiPriority w:val="99"/>
    <w:semiHidden/>
    <w:pPr>
      <w:pBdr/>
      <w:spacing/>
      <w:ind/>
    </w:pPr>
    <w:rPr>
      <w:sz w:val="20"/>
      <w:szCs w:val="20"/>
    </w:rPr>
  </w:style>
  <w:style w:type="character" w:styleId="909">
    <w:name w:val="footnote reference"/>
    <w:basedOn w:val="747"/>
    <w:uiPriority w:val="99"/>
    <w:semiHidden/>
    <w:unhideWhenUsed/>
    <w:pPr>
      <w:pBdr/>
      <w:spacing/>
      <w:ind/>
    </w:pPr>
    <w:rPr>
      <w:vertAlign w:val="superscript"/>
    </w:rPr>
  </w:style>
  <w:style w:type="paragraph" w:styleId="910">
    <w:name w:val="endnote text"/>
    <w:basedOn w:val="737"/>
    <w:link w:val="91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1" w:customStyle="1">
    <w:name w:val="Текст концевой сноски Знак"/>
    <w:basedOn w:val="747"/>
    <w:link w:val="910"/>
    <w:uiPriority w:val="99"/>
    <w:semiHidden/>
    <w:pPr>
      <w:pBdr/>
      <w:spacing/>
      <w:ind/>
    </w:pPr>
    <w:rPr>
      <w:sz w:val="20"/>
      <w:szCs w:val="20"/>
    </w:rPr>
  </w:style>
  <w:style w:type="character" w:styleId="912">
    <w:name w:val="endnote reference"/>
    <w:basedOn w:val="747"/>
    <w:uiPriority w:val="99"/>
    <w:semiHidden/>
    <w:unhideWhenUsed/>
    <w:pPr>
      <w:pBdr/>
      <w:spacing/>
      <w:ind/>
    </w:pPr>
    <w:rPr>
      <w:vertAlign w:val="superscript"/>
    </w:rPr>
  </w:style>
  <w:style w:type="character" w:styleId="913">
    <w:name w:val="Hyperlink"/>
    <w:basedOn w:val="74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14">
    <w:name w:val="FollowedHyperlink"/>
    <w:basedOn w:val="74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15">
    <w:name w:val="toc 1"/>
    <w:basedOn w:val="737"/>
    <w:next w:val="737"/>
    <w:uiPriority w:val="39"/>
    <w:unhideWhenUsed/>
    <w:pPr>
      <w:pBdr/>
      <w:spacing w:after="100"/>
      <w:ind/>
    </w:pPr>
  </w:style>
  <w:style w:type="paragraph" w:styleId="916">
    <w:name w:val="toc 2"/>
    <w:basedOn w:val="737"/>
    <w:next w:val="737"/>
    <w:uiPriority w:val="39"/>
    <w:unhideWhenUsed/>
    <w:pPr>
      <w:pBdr/>
      <w:spacing w:after="100"/>
      <w:ind w:left="220"/>
    </w:pPr>
  </w:style>
  <w:style w:type="paragraph" w:styleId="917">
    <w:name w:val="toc 3"/>
    <w:basedOn w:val="737"/>
    <w:next w:val="737"/>
    <w:uiPriority w:val="39"/>
    <w:unhideWhenUsed/>
    <w:pPr>
      <w:pBdr/>
      <w:spacing w:after="100"/>
      <w:ind w:left="440"/>
    </w:pPr>
  </w:style>
  <w:style w:type="paragraph" w:styleId="918">
    <w:name w:val="toc 4"/>
    <w:basedOn w:val="737"/>
    <w:next w:val="737"/>
    <w:uiPriority w:val="39"/>
    <w:unhideWhenUsed/>
    <w:pPr>
      <w:pBdr/>
      <w:spacing w:after="100"/>
      <w:ind w:left="660"/>
    </w:pPr>
  </w:style>
  <w:style w:type="paragraph" w:styleId="919">
    <w:name w:val="toc 5"/>
    <w:basedOn w:val="737"/>
    <w:next w:val="737"/>
    <w:uiPriority w:val="39"/>
    <w:unhideWhenUsed/>
    <w:pPr>
      <w:pBdr/>
      <w:spacing w:after="100"/>
      <w:ind w:left="880"/>
    </w:pPr>
  </w:style>
  <w:style w:type="paragraph" w:styleId="920">
    <w:name w:val="toc 6"/>
    <w:basedOn w:val="737"/>
    <w:next w:val="737"/>
    <w:uiPriority w:val="39"/>
    <w:unhideWhenUsed/>
    <w:pPr>
      <w:pBdr/>
      <w:spacing w:after="100"/>
      <w:ind w:left="1100"/>
    </w:pPr>
  </w:style>
  <w:style w:type="paragraph" w:styleId="921">
    <w:name w:val="toc 7"/>
    <w:basedOn w:val="737"/>
    <w:next w:val="737"/>
    <w:uiPriority w:val="39"/>
    <w:unhideWhenUsed/>
    <w:pPr>
      <w:pBdr/>
      <w:spacing w:after="100"/>
      <w:ind w:left="1320"/>
    </w:pPr>
  </w:style>
  <w:style w:type="paragraph" w:styleId="922">
    <w:name w:val="toc 8"/>
    <w:basedOn w:val="737"/>
    <w:next w:val="737"/>
    <w:uiPriority w:val="39"/>
    <w:unhideWhenUsed/>
    <w:pPr>
      <w:pBdr/>
      <w:spacing w:after="100"/>
      <w:ind w:left="1540"/>
    </w:pPr>
  </w:style>
  <w:style w:type="paragraph" w:styleId="923">
    <w:name w:val="toc 9"/>
    <w:basedOn w:val="737"/>
    <w:next w:val="737"/>
    <w:uiPriority w:val="39"/>
    <w:unhideWhenUsed/>
    <w:pPr>
      <w:pBdr/>
      <w:spacing w:after="100"/>
      <w:ind w:left="1760"/>
    </w:pPr>
  </w:style>
  <w:style w:type="paragraph" w:styleId="924">
    <w:name w:val="TOC Heading"/>
    <w:uiPriority w:val="39"/>
    <w:unhideWhenUsed/>
    <w:pPr>
      <w:pBdr/>
      <w:spacing/>
      <w:ind/>
    </w:pPr>
  </w:style>
  <w:style w:type="paragraph" w:styleId="925">
    <w:name w:val="table of figures"/>
    <w:basedOn w:val="737"/>
    <w:next w:val="737"/>
    <w:uiPriority w:val="99"/>
    <w:unhideWhenUsed/>
    <w:pPr>
      <w:pBdr/>
      <w:spacing w:after="0"/>
      <w:ind/>
    </w:pPr>
  </w:style>
  <w:style w:type="paragraph" w:styleId="926" w:customStyle="1">
    <w:name w:val="ConsPlusNormal"/>
    <w:pPr>
      <w:widowControl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0" w:line="240" w:lineRule="auto"/>
      <w:ind/>
    </w:pPr>
    <w:rPr>
      <w:rFonts w:ascii="Calibri" w:hAnsi="Calibri" w:cs="Calibri" w:eastAsiaTheme="minorEastAsia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yperlink" Target="https://login.consultant.ru/link/?req=doc&amp;base=RLAW363&amp;n=158902" TargetMode="External"/><Relationship Id="rId10" Type="http://schemas.openxmlformats.org/officeDocument/2006/relationships/hyperlink" Target="https://login.consultant.ru/link/?req=doc&amp;base=RLAW363&amp;n=174072&amp;dst=100005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29</cp:revision>
  <dcterms:created xsi:type="dcterms:W3CDTF">2024-12-19T11:59:00Z</dcterms:created>
  <dcterms:modified xsi:type="dcterms:W3CDTF">2026-08-04T07:09:41Z</dcterms:modified>
</cp:coreProperties>
</file>