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ПРОЕКТ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КАБИНЕТ МИНИСТРОВ РЕСПУБЛИКИ ТАТАРСТАН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ПОСТАНОВЛЕНИЕ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«___» _______</w:t>
      </w:r>
      <w:r>
        <w:rPr>
          <w:rFonts w:ascii="Times New Roman" w:hAnsi="Times New Roman" w:eastAsia="Calibri"/>
          <w:sz w:val="28"/>
          <w:szCs w:val="28"/>
          <w:highlight w:val="none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highlight w:val="none"/>
          <w:lang w:eastAsia="en-US"/>
        </w:rPr>
        <w:t xml:space="preserve">202</w:t>
      </w:r>
      <w:r>
        <w:rPr>
          <w:rFonts w:ascii="Times New Roman" w:hAnsi="Times New Roman" w:eastAsia="Calibri"/>
          <w:sz w:val="28"/>
          <w:szCs w:val="28"/>
          <w:highlight w:val="none"/>
          <w:lang w:eastAsia="en-US"/>
        </w:rPr>
        <w:t xml:space="preserve">6</w:t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</w:r>
      <w:r>
        <w:rPr>
          <w:rFonts w:ascii="Times New Roman" w:hAnsi="Times New Roman" w:eastAsia="Calibri"/>
          <w:sz w:val="28"/>
          <w:szCs w:val="28"/>
          <w:lang w:eastAsia="en-US"/>
        </w:rPr>
        <w:tab/>
        <w:t xml:space="preserve">№ ___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г. Казань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tabs>
          <w:tab w:val="left" w:leader="none" w:pos="3686"/>
        </w:tabs>
        <w:spacing w:after="0" w:line="240" w:lineRule="auto"/>
        <w:ind w:right="5243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 внесении изменений в постановление Кабинета Министров Республики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от 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.08.2018 № 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>
        <w:rPr>
          <w:rFonts w:ascii="Times New Roman" w:hAnsi="Times New Roman"/>
          <w:sz w:val="28"/>
          <w:szCs w:val="28"/>
          <w:highlight w:val="none"/>
        </w:rPr>
        <w:t xml:space="preserve">Об условиях оплаты труда работников государственных </w:t>
      </w:r>
      <w:r>
        <w:rPr>
          <w:rFonts w:ascii="Times New Roman" w:hAnsi="Times New Roman"/>
          <w:sz w:val="28"/>
          <w:szCs w:val="28"/>
          <w:highlight w:val="none"/>
        </w:rPr>
        <w:t xml:space="preserve">организаций </w:t>
      </w:r>
      <w:r>
        <w:rPr>
          <w:rFonts w:ascii="Times New Roman" w:hAnsi="Times New Roman"/>
          <w:sz w:val="28"/>
          <w:szCs w:val="28"/>
          <w:highlight w:val="none"/>
        </w:rPr>
        <w:t xml:space="preserve">физической культуры и спорта </w:t>
      </w:r>
      <w:r>
        <w:rPr>
          <w:rFonts w:ascii="Times New Roman" w:hAnsi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widowControl w:val="false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43"/>
        <w:numPr>
          <w:ilvl w:val="0"/>
          <w:numId w:val="11"/>
        </w:numPr>
        <w:pBdr/>
        <w:tabs>
          <w:tab w:val="left" w:leader="none" w:pos="993"/>
        </w:tabs>
        <w:spacing w:line="360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Внести в постановление Кабинета Министров Республики Татарстан от 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.08.2018 №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671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>
        <w:rPr>
          <w:rFonts w:ascii="Times New Roman" w:hAnsi="Times New Roman"/>
          <w:sz w:val="28"/>
          <w:szCs w:val="28"/>
          <w:highlight w:val="none"/>
        </w:rPr>
        <w:t xml:space="preserve">Об условиях оплаты труда работников государственных организаций </w:t>
      </w:r>
      <w:r>
        <w:rPr>
          <w:rFonts w:ascii="Times New Roman" w:hAnsi="Times New Roman"/>
          <w:sz w:val="28"/>
          <w:szCs w:val="28"/>
          <w:highlight w:val="none"/>
        </w:rPr>
        <w:t xml:space="preserve">физической культуры и спорта</w:t>
      </w:r>
      <w:r>
        <w:rPr>
          <w:rFonts w:ascii="Times New Roman" w:hAnsi="Times New Roman"/>
          <w:sz w:val="28"/>
          <w:szCs w:val="28"/>
          <w:highlight w:val="none"/>
        </w:rPr>
        <w:t xml:space="preserve"> Республики Татарстан» (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 изменениями, внесенными постановлениями Кабинета Министров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15.04.2019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№ 290, от 26.07.2021 № 645, от 30.10.2021 № 1030, от 20.06.2022 № 587, от 14.09.2022 № 1002,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16.10.2023 № 1312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06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№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442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№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768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7.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4.202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5 №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240,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15.09.2025 № 695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33"/>
        <w:widowControl w:val="false"/>
        <w:pBdr/>
        <w:tabs>
          <w:tab w:val="left" w:leader="none" w:pos="993"/>
        </w:tabs>
        <w:spacing w:after="0" w:line="360" w:lineRule="auto"/>
        <w:ind w:firstLine="709" w:left="0"/>
        <w:contextualSpacing w:val="false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оложени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 условиях оплаты труда работников государственных организаций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физической культуры и спорта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утвержденно</w:t>
      </w:r>
      <w:r>
        <w:rPr>
          <w:rFonts w:ascii="Times New Roman" w:hAnsi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/>
          <w:sz w:val="28"/>
          <w:szCs w:val="28"/>
          <w:highlight w:val="none"/>
        </w:rPr>
        <w:t xml:space="preserve"> указанным постановлением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33"/>
        <w:widowControl w:val="false"/>
        <w:pBdr/>
        <w:spacing w:after="0" w:line="360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II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tabs>
          <w:tab w:val="left" w:leader="none" w:pos="284"/>
        </w:tabs>
        <w:spacing w:line="360" w:lineRule="auto"/>
        <w:ind/>
        <w:jc w:val="center"/>
        <w:rPr>
          <w:rFonts w:ascii="Times New Roman" w:hAnsi="Times New Roman" w:cs="Times New Roman"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II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Определение базовых окладов работников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</w:p>
    <w:p>
      <w:pPr>
        <w:pStyle w:val="1043"/>
        <w:pBdr/>
        <w:tabs>
          <w:tab w:val="left" w:leader="none" w:pos="284"/>
        </w:tabs>
        <w:spacing w:line="360" w:lineRule="auto"/>
        <w:ind/>
        <w:jc w:val="center"/>
        <w:rPr>
          <w:rFonts w:ascii="Times New Roman" w:hAnsi="Times New Roman" w:cs="Times New Roman"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государственных организаций физической культуры и спорта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</w:p>
    <w:p>
      <w:pPr>
        <w:pStyle w:val="1043"/>
        <w:pBdr/>
        <w:spacing w:line="36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1043"/>
        <w:pBdr/>
        <w:tabs>
          <w:tab w:val="left" w:leader="none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2.1. Базовые оклады работников физической культуры государственных организаций физической культуры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34"/>
        <w:tblW w:w="10201" w:type="dxa"/>
        <w:tblCellMar>
          <w:top w:w="28" w:type="dxa"/>
          <w:bottom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976"/>
        <w:gridCol w:w="4532"/>
        <w:gridCol w:w="4"/>
        <w:gridCol w:w="2689"/>
      </w:tblGrid>
      <w:tr>
        <w:trPr>
          <w:trHeight w:val="20"/>
          <w:tblHeader/>
        </w:trPr>
        <w:tc>
          <w:tcPr>
            <w:tcBorders/>
            <w:tcW w:w="2976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restart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4535" w:type="dxa"/>
            <w:vMerge w:val="restart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89" w:type="dxa"/>
            <w:vMerge w:val="restart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4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физической культуры и спорта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Дежурный по спортивному залу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4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должностей работников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физической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культуры и спорта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Инструктор по адаптивной физической культуре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29 260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Инструктор по спорту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Спортсмен-инструктор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Техник по эксплуатации и ремонту спортивной техники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Второй квалификационный уровень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Инструктор-методист по адаптивной физической культуре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29 270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Инструктор-методист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физкультурно-спортивных организаций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Тренер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97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Третий квалификационный уровень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Старший инструктор-методист физкультурно-спортивных организаций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29 280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1043"/>
        <w:pBdr/>
        <w:spacing w:line="36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tabs>
          <w:tab w:val="left" w:leader="none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2.2.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Базовые оклады работников образования государственных организаций физической культуры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tabs>
          <w:tab w:val="left" w:leader="none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34"/>
        <w:tblW w:w="10201" w:type="dxa"/>
        <w:tblCellMar>
          <w:top w:w="28" w:type="dxa"/>
          <w:bottom w:w="28" w:type="dxa"/>
        </w:tblCellMar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4536"/>
        <w:gridCol w:w="2693"/>
      </w:tblGrid>
      <w:tr>
        <w:trPr>
          <w:trHeight w:val="20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6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Style w:val="1034"/>
        <w:tblW w:w="10201" w:type="dxa"/>
        <w:tblCellMar>
          <w:top w:w="28" w:type="dxa"/>
          <w:bottom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972"/>
        <w:gridCol w:w="4535"/>
        <w:gridCol w:w="2693"/>
        <w:gridCol w:w="1"/>
      </w:tblGrid>
      <w:tr>
        <w:trPr>
          <w:gridAfter w:val="1"/>
          <w:trHeight w:val="20"/>
          <w:tblHeader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55"/>
        </w:trPr>
        <w:tc>
          <w:tcPr>
            <w:gridSpan w:val="4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должностей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педагогических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gridAfter w:val="1"/>
          <w:trHeight w:val="20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Первый квалификационный уровень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Инструктор по физической культуре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30 130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gridAfter w:val="1"/>
          <w:trHeight w:val="791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30 250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gridAfter w:val="1"/>
          <w:trHeight w:val="0"/>
        </w:trPr>
        <w:tc>
          <w:tcPr>
            <w:tcBorders/>
            <w:tcW w:w="2972" w:type="dxa"/>
            <w:vMerge w:val="restart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Методист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30 420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gridAfter w:val="1"/>
          <w:trHeight w:val="0"/>
        </w:trPr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Старший инструктор-методист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gridSpan w:val="4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должностей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руководителей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структурных подразделений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gridAfter w:val="1"/>
          <w:trHeight w:val="20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Заведующий (начальник) структурным подразделением: кабинетом,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лабораторией, отделом, отделением, сектором, учебно-консультационным пунктом, учебной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(учебно-производственной) мастерской и другими структурными подразделениями, реализующими образовательную программу дополнительного образования детей (кроме должностей руководителей структурных подразделений, отнесенных ко второму квалификационному уровню)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30 620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gridAfter w:val="1"/>
          <w:trHeight w:val="20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535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Заведующий (начальник) обособленным структурным подразделением, реализующим образовательную программу и образовательную программу дополнительного образования детей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30 680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1043"/>
        <w:pBdr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tabs>
          <w:tab w:val="left" w:leader="none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2.3. Базовые оклады медицинских работников государственных организаций физической культуры и спорта устанавливаются в следующих размерах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34"/>
        <w:tblW w:w="10201" w:type="dxa"/>
        <w:tblCellMar>
          <w:top w:w="28" w:type="dxa"/>
          <w:bottom w:w="28" w:type="dxa"/>
        </w:tblCellMar>
        <w:tblBorders>
          <w:bottom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4612"/>
        <w:gridCol w:w="2617"/>
      </w:tblGrid>
      <w:tr>
        <w:trPr>
          <w:trHeight w:val="20"/>
          <w:tblHeader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61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none"/>
        </w:rPr>
      </w:pP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</w:p>
    <w:tbl>
      <w:tblPr>
        <w:tblStyle w:val="1034"/>
        <w:tblW w:w="10201" w:type="dxa"/>
        <w:tblCellMar>
          <w:top w:w="28" w:type="dxa"/>
          <w:bottom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972"/>
        <w:gridCol w:w="4612"/>
        <w:gridCol w:w="2617"/>
      </w:tblGrid>
      <w:tr>
        <w:trPr>
          <w:trHeight w:val="20"/>
          <w:tblHeader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61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«Средний медицинский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 фармацевтический персонал»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2" w:type="dxa"/>
            <w:vMerge w:val="restart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61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Медицинская сестра (медицинский брат)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17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30 540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61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Медицинская сестра по массажу (медицинский брат по массажу)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17" w:type="dxa"/>
            <w:vMerge w:val="continue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lang w:eastAsia="en-US"/>
              </w:rPr>
            </w:r>
          </w:p>
        </w:tc>
      </w:tr>
      <w:tr>
        <w:trPr>
          <w:trHeight w:val="20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61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Старшая медицинская сестра (старший медицинский брат)*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32 600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«Врачи и провизоры»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61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Врачи-специалисты (кроме врачей-специалистов, отнесенных к треть-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br/>
              <w:t xml:space="preserve">ему и четвертому квалификационным уровням)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35 300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«Руководители структурных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подразделений учреждений с высшим медицинским и фармацевтическим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образованием (врач-специалист, провизор)»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97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61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Заведующий структурным подразделением (отделом, отделением, лабораторией, кабинетом, отрядом и др.) (кроме заведующих отделениями хирургического профиля стационаров)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1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38 910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1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*Должность устанавливается в организации при наличии в подчинении трех и более медицинских сестер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(медицинских братьев)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1043"/>
        <w:pBdr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tabs>
          <w:tab w:val="left" w:leader="none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2.4. Базовые оклады работников культуры государственных организаций физической культуры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spacing w:line="36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34"/>
        <w:tblW w:w="10201" w:type="dxa"/>
        <w:tblBorders/>
        <w:tblLook w:val="04A0" w:firstRow="1" w:lastRow="0" w:firstColumn="1" w:lastColumn="0" w:noHBand="0" w:noVBand="1"/>
      </w:tblPr>
      <w:tblGrid>
        <w:gridCol w:w="7372"/>
        <w:gridCol w:w="2829"/>
      </w:tblGrid>
      <w:tr>
        <w:trPr>
          <w:trHeight w:val="940"/>
          <w:tblHeader/>
        </w:trPr>
        <w:tc>
          <w:tcPr>
            <w:tcBorders>
              <w:bottom w:val="none" w:color="000000" w:sz="4" w:space="0"/>
            </w:tcBorders>
            <w:tcW w:w="73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bottom w:val="none" w:color="000000" w:sz="4" w:space="0"/>
            </w:tcBorders>
            <w:tcW w:w="2829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Style w:val="1034"/>
        <w:tblW w:w="10201" w:type="dxa"/>
        <w:tblBorders/>
        <w:tblLook w:val="04A0" w:firstRow="1" w:lastRow="0" w:firstColumn="1" w:lastColumn="0" w:noHBand="0" w:noVBand="1"/>
      </w:tblPr>
      <w:tblGrid>
        <w:gridCol w:w="7372"/>
        <w:gridCol w:w="2829"/>
      </w:tblGrid>
      <w:tr>
        <w:trPr>
          <w:trHeight w:val="423"/>
          <w:tblHeader/>
        </w:trPr>
        <w:tc>
          <w:tcPr>
            <w:tcBorders/>
            <w:tcW w:w="73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29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706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«Должности технических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исполнителей и артистов вспомогательного состава»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420"/>
        </w:trPr>
        <w:tc>
          <w:tcPr>
            <w:tcBorders/>
            <w:tcW w:w="73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lef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Контролер билетов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2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29 590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36"/>
        </w:trPr>
        <w:tc>
          <w:tcPr>
            <w:gridSpan w:val="2"/>
            <w:tcBorders/>
            <w:tcW w:w="10201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«Должности работников культуры, искусства и кинематографии среднего звена»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421"/>
        </w:trPr>
        <w:tc>
          <w:tcPr>
            <w:tcBorders/>
            <w:tcW w:w="7372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Заведующий билетными кассами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82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ru-RU"/>
              </w:rPr>
              <w:t xml:space="preserve">30 200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1043"/>
        <w:pBdr/>
        <w:spacing w:line="36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2.5. Базовые оклады работников сельского хозяйства государственных организаций физической культуры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34"/>
        <w:tblW w:w="10207" w:type="dxa"/>
        <w:tblCellMar>
          <w:top w:w="28" w:type="dxa"/>
          <w:bottom w:w="28" w:type="dxa"/>
        </w:tblCellMar>
        <w:tblBorders>
          <w:bottom w:val="none" w:color="auto" w:sz="0" w:space="0"/>
        </w:tblBorders>
        <w:tblLook w:val="04A0" w:firstRow="1" w:lastRow="0" w:firstColumn="1" w:lastColumn="0" w:noHBand="0" w:noVBand="1"/>
      </w:tblPr>
      <w:tblGrid>
        <w:gridCol w:w="3544"/>
        <w:gridCol w:w="3964"/>
        <w:gridCol w:w="2699"/>
      </w:tblGrid>
      <w:tr>
        <w:trPr/>
        <w:tc>
          <w:tcPr>
            <w:tcBorders/>
            <w:tcW w:w="3544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4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Наименование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9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в месяц,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/>
        <w:rPr>
          <w:sz w:val="2"/>
          <w:szCs w:val="2"/>
          <w:highlight w:val="none"/>
        </w:rPr>
      </w:pP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</w:p>
    <w:tbl>
      <w:tblPr>
        <w:tblStyle w:val="1034"/>
        <w:tblW w:w="0" w:type="auto"/>
        <w:tblCellMar>
          <w:top w:w="28" w:type="dxa"/>
          <w:bottom w:w="28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3544"/>
        <w:gridCol w:w="3964"/>
        <w:gridCol w:w="2699"/>
      </w:tblGrid>
      <w:tr>
        <w:trPr>
          <w:trHeight w:val="20"/>
          <w:tblHeader/>
        </w:trPr>
        <w:tc>
          <w:tcPr>
            <w:tcBorders/>
            <w:tcW w:w="3544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4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9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7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«Должности работников сельского хозяйства третьего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3544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Ветеринарный врач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30 200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354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Ветеринарный врач II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30 250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354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Ветеринарный врач I категории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30 330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354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Ведущий ветеринарный врач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30 440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3"/>
            <w:tcBorders/>
            <w:tcW w:w="10207" w:type="dxa"/>
            <w:textDirection w:val="lrTb"/>
            <w:noWrap w:val="false"/>
          </w:tcPr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«Должности работников сельского хозяйства четвертого уровня»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354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396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Главный агроном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31 950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»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1043"/>
        <w:pBdr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33"/>
        <w:widowControl w:val="false"/>
        <w:pBdr/>
        <w:spacing w:after="0" w:line="360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</w:r>
      <w:bookmarkStart w:id="2" w:name="_Hlk172190647"/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таблицу 16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в следующей редакции:</w:t>
      </w:r>
      <w:bookmarkEnd w:id="2"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Таблица 16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4"/>
        <w:pBdr/>
        <w:spacing w:line="360" w:lineRule="auto"/>
        <w:ind/>
        <w:jc w:val="center"/>
        <w:rPr>
          <w:rFonts w:ascii="Times New Roman" w:hAnsi="Times New Roman" w:cs="Times New Roman" w:eastAsiaTheme="minorHAnsi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  <w:lang w:eastAsia="en-US"/>
        </w:rPr>
        <w:t xml:space="preserve">Размеры базо</w:t>
      </w:r>
      <w:bookmarkStart w:id="3" w:name="_GoBack"/>
      <w:r>
        <w:rPr>
          <w:highlight w:val="none"/>
        </w:rPr>
      </w:r>
      <w:bookmarkEnd w:id="3"/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  <w:lang w:eastAsia="en-US"/>
        </w:rPr>
        <w:t xml:space="preserve">вых окладов руководителей государственных организаций </w:t>
      </w:r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</w:rPr>
      </w:r>
    </w:p>
    <w:p>
      <w:pPr>
        <w:pStyle w:val="1044"/>
        <w:pBdr/>
        <w:spacing w:line="360" w:lineRule="auto"/>
        <w:ind/>
        <w:jc w:val="center"/>
        <w:rPr>
          <w:rFonts w:ascii="Times New Roman" w:hAnsi="Times New Roman" w:cs="Times New Roman" w:eastAsiaTheme="minorHAnsi"/>
          <w:b w:val="0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  <w:lang w:eastAsia="en-US"/>
        </w:rPr>
        <w:t xml:space="preserve">физической культуры и спорта</w:t>
      </w:r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</w:rPr>
      </w:r>
    </w:p>
    <w:p>
      <w:pPr>
        <w:pStyle w:val="1044"/>
        <w:pBdr/>
        <w:spacing w:line="312" w:lineRule="auto"/>
        <w:ind/>
        <w:jc w:val="center"/>
        <w:rPr>
          <w:rFonts w:ascii="Times New Roman" w:hAnsi="Times New Roman" w:cs="Times New Roman" w:eastAsiaTheme="minorHAnsi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 w:eastAsiaTheme="minorHAnsi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 w:eastAsiaTheme="minorHAnsi"/>
          <w:b w:val="0"/>
          <w:bCs w:val="0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top w:w="45" w:type="dxa"/>
          <w:right w:w="62" w:type="dxa"/>
          <w:bottom w:w="45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14"/>
        <w:gridCol w:w="4894"/>
        <w:gridCol w:w="2693"/>
      </w:tblGrid>
      <w:tr>
        <w:trPr>
          <w:trHeight w:val="20"/>
        </w:trPr>
        <w:tc>
          <w:tcPr>
            <w:tcBorders/>
            <w:tcW w:w="261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Группа по оплате труда руководителя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89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Значение объемного показателя (штатная численность работников), человек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Базовый оклад, 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рублей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61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89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до 20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val="ru-RU"/>
              </w:rPr>
              <w:t xml:space="preserve">37 940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61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2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89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21 – 40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val="ru-RU"/>
              </w:rPr>
              <w:t xml:space="preserve">39 270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61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3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89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41 – 60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val="ru-RU"/>
              </w:rPr>
              <w:t xml:space="preserve">40 610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/>
            <w:tcW w:w="261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4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4894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 w:right="0" w:firstLine="0" w:left="0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  <w:t xml:space="preserve">61 и 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более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Style w:val="1043"/>
              <w:pBdr/>
              <w:spacing w:line="233" w:lineRule="auto"/>
              <w:ind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val="ru-RU"/>
              </w:rPr>
              <w:t xml:space="preserve">   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val="ru-RU"/>
              </w:rPr>
              <w:t xml:space="preserve">41 270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  <w:lang w:eastAsia="en-US"/>
              </w:rPr>
              <w:t xml:space="preserve">»;</w:t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  <w:highlight w:val="none"/>
              </w:rPr>
            </w:r>
          </w:p>
        </w:tc>
      </w:tr>
    </w:tbl>
    <w:p>
      <w:pPr>
        <w:pStyle w:val="1033"/>
        <w:widowControl w:val="false"/>
        <w:pBdr/>
        <w:tabs>
          <w:tab w:val="left" w:leader="none" w:pos="993"/>
        </w:tabs>
        <w:spacing w:after="0" w:line="360" w:lineRule="auto"/>
        <w:ind w:firstLine="709" w:left="0"/>
        <w:contextualSpacing w:val="false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33"/>
        <w:widowControl w:val="false"/>
        <w:pBdr/>
        <w:tabs>
          <w:tab w:val="left" w:leader="none" w:pos="993"/>
        </w:tabs>
        <w:spacing w:after="0" w:line="360" w:lineRule="auto"/>
        <w:ind w:firstLine="709" w:left="0"/>
        <w:contextualSpacing w:val="false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раздел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II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оложени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об условиях оплаты труда работников професс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иональных квалификационных групп общеотраслевых профессий рабочих, рабочих культуры, искусства и кинематографии, общеотраслевых должностей руководителей, специалистов и служащих государственных организаций физической культуры и спорта Республики Татарстан,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утвержденно</w:t>
      </w:r>
      <w:r>
        <w:rPr>
          <w:rFonts w:ascii="Times New Roman" w:hAnsi="Times New Roman"/>
          <w:sz w:val="28"/>
          <w:szCs w:val="28"/>
          <w:highlight w:val="none"/>
        </w:rPr>
        <w:t xml:space="preserve">го</w:t>
      </w:r>
      <w:r>
        <w:rPr>
          <w:rFonts w:ascii="Times New Roman" w:hAnsi="Times New Roman"/>
          <w:sz w:val="28"/>
          <w:szCs w:val="28"/>
          <w:highlight w:val="none"/>
        </w:rPr>
        <w:t xml:space="preserve"> указанным постановлением</w:t>
      </w:r>
      <w:bookmarkStart w:id="4" w:name="_Hlk172538856"/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в следующей редакции:</w:t>
      </w:r>
      <w:bookmarkEnd w:id="4"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33"/>
        <w:widowControl w:val="false"/>
        <w:pBdr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II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Определение базовых окладов работников профессиональных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33"/>
        <w:widowControl w:val="false"/>
        <w:pBdr/>
        <w:tabs>
          <w:tab w:val="left" w:leader="none" w:pos="284"/>
        </w:tabs>
        <w:spacing w:after="0" w:line="360" w:lineRule="auto"/>
        <w:ind w:left="0"/>
        <w:contextualSpacing w:val="fals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квалификационных групп общеотраслевых профессий рабочих, рабочих культуры, искусства и кинематографии, общеотраслевых должностей руководителей,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1033"/>
        <w:widowControl w:val="false"/>
        <w:pBdr/>
        <w:tabs>
          <w:tab w:val="left" w:leader="none" w:pos="284"/>
        </w:tabs>
        <w:spacing w:after="0" w:line="360" w:lineRule="auto"/>
        <w:ind w:left="0"/>
        <w:contextualSpacing w:val="fals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специалистов и служащих государственных организаций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1033"/>
        <w:widowControl w:val="false"/>
        <w:pBdr/>
        <w:tabs>
          <w:tab w:val="left" w:leader="none" w:pos="284"/>
        </w:tabs>
        <w:spacing w:after="0" w:line="360" w:lineRule="auto"/>
        <w:ind w:left="0"/>
        <w:contextualSpacing w:val="fals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физической культуры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спорта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1033"/>
        <w:widowControl w:val="false"/>
        <w:pBdr/>
        <w:tabs>
          <w:tab w:val="left" w:leader="none" w:pos="993"/>
        </w:tabs>
        <w:spacing w:after="0" w:line="360" w:lineRule="auto"/>
        <w:ind w:firstLine="709" w:left="0"/>
        <w:contextualSpacing w:val="false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1033"/>
        <w:widowControl w:val="false"/>
        <w:pBdr/>
        <w:spacing w:after="0" w:line="360" w:lineRule="auto"/>
        <w:ind w:firstLine="708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.1. Базовые оклады работников профессиональных квалификационных групп общеотраслевых профессий рабочих, рабочих культуры, искусства и кинематографии государственных организаций физической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культуры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top w:w="57" w:type="dxa"/>
          <w:right w:w="62" w:type="dxa"/>
          <w:bottom w:w="57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6232"/>
        <w:gridCol w:w="3969"/>
      </w:tblGrid>
      <w:tr>
        <w:trPr>
          <w:trHeight w:val="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W w:w="10201" w:type="dxa"/>
        <w:tblCellMar>
          <w:left w:w="62" w:type="dxa"/>
          <w:top w:w="57" w:type="dxa"/>
          <w:right w:w="62" w:type="dxa"/>
          <w:bottom w:w="57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6232"/>
        <w:gridCol w:w="3969"/>
      </w:tblGrid>
      <w:tr>
        <w:trPr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1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«Общеотраслевые профессии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рабочих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28 460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1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«Общеотраслевые профессии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рабочих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28 640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28 850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29 070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2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969" w:type="dxa"/>
            <w:textDirection w:val="lrTb"/>
            <w:noWrap w:val="false"/>
          </w:tcPr>
          <w:p>
            <w:pPr>
              <w:pStyle w:val="1033"/>
              <w:pBdr/>
              <w:spacing w:after="0" w:afterAutospacing="0" w:line="264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29 720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360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2.2. Базовые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оклады работников профессиональных квалификационных групп общеотраслевых должностей руководителей, специалистов и служащих государственных организаций физической культуры и спорта устанавливаются в следующих размерах: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33"/>
        <w:pBdr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W w:w="10201" w:type="dxa"/>
        <w:tblCellMar>
          <w:left w:w="62" w:type="dxa"/>
          <w:top w:w="57" w:type="dxa"/>
          <w:right w:w="62" w:type="dxa"/>
          <w:bottom w:w="57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6094"/>
        <w:gridCol w:w="4107"/>
      </w:tblGrid>
      <w:tr>
        <w:trPr>
          <w:trHeight w:val="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4107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Размер базового оклада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 месяц, рублей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tbl>
      <w:tblPr>
        <w:tblW w:w="10201" w:type="dxa"/>
        <w:tblCellMar>
          <w:left w:w="62" w:type="dxa"/>
          <w:top w:w="45" w:type="dxa"/>
          <w:right w:w="62" w:type="dxa"/>
          <w:bottom w:w="45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6094"/>
        <w:gridCol w:w="4107"/>
      </w:tblGrid>
      <w:tr>
        <w:trPr>
          <w:trHeight w:val="2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1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«Общеотраслевые должности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служащих первого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28 220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28 460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1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служащих второго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28 640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28 850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29 070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29 330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29 560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1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служащих третьего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29 790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30 030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30 320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Четвертый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30 560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Пятый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30 800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1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Профессиональная квалификационная группа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widowControl w:val="false"/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«Общеотраслевые должности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служащих четвертого уровня»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Первый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31 950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Второй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32 190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4" w:type="dxa"/>
            <w:textDirection w:val="lrTb"/>
            <w:noWrap w:val="false"/>
          </w:tcPr>
          <w:p>
            <w:pPr>
              <w:widowControl w:val="false"/>
              <w:pBdr/>
              <w:spacing w:after="0" w:afterAutospacing="0" w:line="264" w:lineRule="auto"/>
              <w:ind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Третий квалификационный уровень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07" w:type="dxa"/>
            <w:vAlign w:val="center"/>
            <w:textDirection w:val="lrTb"/>
            <w:noWrap w:val="false"/>
          </w:tcPr>
          <w:p>
            <w:pPr>
              <w:pBdr/>
              <w:spacing w:after="0" w:afterAutospacing="0" w:line="264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:lang w:val="ru-RU"/>
              </w:rPr>
              <w:t xml:space="preserve">32 430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pStyle w:val="1033"/>
        <w:pBdr/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left" w:leader="none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 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должности и профессии работника 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квалификационным уровням профессиональных квалификационных групп общеотрасл</w:t>
      </w:r>
      <w:r>
        <w:rPr>
          <w:rFonts w:ascii="Times New Roman" w:hAnsi="Times New Roman" w:cs="Times New Roman"/>
          <w:sz w:val="28"/>
          <w:szCs w:val="28"/>
        </w:rPr>
        <w:t xml:space="preserve">евых профессий рабочих, рабочих культуры, искусства и кинематографии, общеотраслевых должностей руководителей, специалистов и служащих </w:t>
      </w:r>
      <w:r>
        <w:rPr>
          <w:rFonts w:ascii="Times New Roman" w:hAnsi="Times New Roman" w:cs="Times New Roman"/>
          <w:sz w:val="28"/>
          <w:szCs w:val="28"/>
        </w:rPr>
        <w:t xml:space="preserve">устанавлив</w:t>
      </w:r>
      <w:r>
        <w:rPr>
          <w:rFonts w:ascii="Times New Roman" w:hAnsi="Times New Roman" w:cs="Times New Roman"/>
          <w:sz w:val="28"/>
          <w:szCs w:val="28"/>
        </w:rPr>
        <w:t xml:space="preserve">ается согласно нормативным правовым актам Министерства здравоохранения и социального развития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left" w:leader="none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 Оплата труда работников государственных организаций физической культуры и спорта, занятых по совместительству, а также на условиях неполного рабочего времени, производи</w:t>
      </w:r>
      <w:r>
        <w:rPr>
          <w:rFonts w:ascii="Times New Roman" w:hAnsi="Times New Roman" w:cs="Times New Roman"/>
          <w:sz w:val="28"/>
          <w:szCs w:val="28"/>
        </w:rPr>
        <w:t xml:space="preserve">тся пропорционально отработанному времени либо в зависимости от выполненного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должности.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43"/>
        <w:numPr>
          <w:ilvl w:val="0"/>
          <w:numId w:val="11"/>
        </w:numPr>
        <w:pBdr/>
        <w:tabs>
          <w:tab w:val="left" w:leader="none" w:pos="993"/>
        </w:tabs>
        <w:spacing w:line="360" w:lineRule="auto"/>
        <w:ind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Установить, что</w:t>
      </w:r>
      <w:r>
        <w:rPr>
          <w:rFonts w:ascii="Times New Roman" w:hAnsi="Times New Roman"/>
          <w:sz w:val="28"/>
          <w:szCs w:val="28"/>
          <w:highlight w:val="none"/>
        </w:rPr>
        <w:t xml:space="preserve"> настоящее постановление вступает в силу с 1 </w:t>
      </w:r>
      <w:r>
        <w:rPr>
          <w:rFonts w:ascii="Times New Roman" w:hAnsi="Times New Roman"/>
          <w:sz w:val="28"/>
          <w:szCs w:val="28"/>
          <w:highlight w:val="none"/>
        </w:rPr>
        <w:t xml:space="preserve">января </w:t>
      </w:r>
      <w:r>
        <w:rPr>
          <w:rFonts w:ascii="Times New Roman" w:hAnsi="Times New Roman"/>
          <w:sz w:val="28"/>
          <w:szCs w:val="28"/>
          <w:highlight w:val="none"/>
        </w:rPr>
        <w:t xml:space="preserve">202</w:t>
      </w:r>
      <w:r>
        <w:rPr>
          <w:rFonts w:ascii="Times New Roman" w:hAnsi="Times New Roman"/>
          <w:sz w:val="28"/>
          <w:szCs w:val="28"/>
          <w:highlight w:val="none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spacing/>
        <w:ind w:left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Премьер-министр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widowControl w:val="false"/>
        <w:pBdr/>
        <w:spacing w:after="0" w:line="288" w:lineRule="auto"/>
        <w:ind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Республики Татарстан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ab/>
        <w:tab/>
        <w:tab/>
        <w:tab/>
        <w:tab/>
        <w:tab/>
        <w:tab/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А.В.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Песошин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44"/>
        <w:pBdr/>
        <w:spacing/>
        <w:ind w:right="-1"/>
        <w:outlineLvl w:val="0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9"/>
          <w:headerReference w:type="even" r:id="rId10"/>
          <w:footnotePr/>
          <w:endnotePr/>
          <w:type w:val="nextPage"/>
          <w:pgSz w:h="16838" w:orient="portrait" w:w="11906"/>
          <w:pgMar w:top="1134" w:right="567" w:bottom="1134" w:left="1134" w:header="567" w:footer="0" w:gutter="0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pBdr/>
        <w:spacing/>
        <w:ind/>
        <w:jc w:val="center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43"/>
        <w:pBdr/>
        <w:spacing/>
        <w:ind/>
        <w:jc w:val="center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О внесении изменений в постановление Кабинета Министров Республики Татарстан от 15.08.2018 № 671 «Об условиях оплаты труда работников государственных организаций физической культуры и спорта Республики Татарстан»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43"/>
        <w:pBdr/>
        <w:spacing w:line="276" w:lineRule="auto"/>
        <w:ind/>
        <w:jc w:val="center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1043"/>
        <w:suppressLineNumbers w:val="false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Проект постановления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bCs/>
          <w:sz w:val="28"/>
          <w:szCs w:val="28"/>
          <w:highlight w:val="none"/>
        </w:rPr>
        <w:t xml:space="preserve">О внесении изменений в постановление Кабинета Министров Республики Татарстан от 15.08.2018 № 671 «Об условиях оплаты труда работников госуда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рственных организаций физической культуры и спорта Республики Татарстан»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разработан во исполнение поручения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Раиса Республики Татарстан Минниханова Р.Н.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0.0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.202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6 №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  <w:t xml:space="preserve">35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982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-МР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 повышени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заработной платы работников государственны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 и муниципальных учреждений бюджетной сферы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uppressLineNumbers w:val="false"/>
        <w:pBdr/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Проектом постановления вносятся изменения в Положение об условиях оплаты труда работников государственных организаций физической культуры и спорта Республики Татарстан;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Положение об условиях оплаты труда работников профес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сиональных квалификационных групп общеотраслевых професси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й рабочих, рабочих культуры, искусства и кинематографии, общеотраслевых должностей руководителей, специалистов и служащих государственных организаций физической культуры и спорта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части у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величения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базовых окладов работников</w:t>
      </w:r>
      <w:r>
        <w:rPr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государственных организаций физической культуры и спорта, подведомственных Мини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стерству спорта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 w14:paraId="2E34C43E">
      <w:pPr>
        <w:pStyle w:val="1043"/>
        <w:suppressLineNumbers w:val="false"/>
        <w:pBdr/>
        <w:shd w:val="clear" w:color="auto" w:fill="ffffff" w:themeFill="background1"/>
        <w:spacing w:line="288" w:lineRule="auto"/>
        <w:ind w:right="0" w:firstLine="709" w:left="0"/>
        <w:jc w:val="both"/>
        <w:rPr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Arial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 w14:paraId="1361BD68">
      <w:pPr>
        <w:pStyle w:val="1029"/>
        <w:suppressLineNumbers w:val="false"/>
        <w:pBdr/>
        <w:spacing w:after="0" w:line="288" w:lineRule="auto"/>
        <w:ind w:right="0" w:firstLine="709" w:left="0"/>
        <w:jc w:val="both"/>
        <w:rPr/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.</w:t>
      </w:r>
      <w:r/>
    </w:p>
    <w:p>
      <w:pPr>
        <w:pStyle w:val="1043"/>
        <w:suppressLineNumbers w:val="false"/>
        <w:pBdr/>
        <w:spacing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43"/>
        <w:suppressLineNumbers w:val="false"/>
        <w:pBdr/>
        <w:spacing w:line="245" w:lineRule="auto"/>
        <w:ind w:right="0" w:firstLine="709" w:left="0"/>
        <w:jc w:val="both"/>
        <w:rPr>
          <w:rFonts w:ascii="Times New Roman" w:hAnsi="Times New Roman" w:cs="Times New Roman"/>
          <w:b/>
          <w:bCs/>
          <w:i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5"/>
      <w:pgMar w:top="1134" w:right="567" w:bottom="1134" w:left="1134" w:header="567" w:footer="0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1033"/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Style w:val="1033"/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2040204020203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1033"/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Style w:val="1033"/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20135096"/>
      <w:docPartObj>
        <w:docPartGallery w:val="Page Numbers (Top of Page)"/>
        <w:docPartUnique w:val="true"/>
      </w:docPartObj>
      <w:rPr/>
    </w:sdtPr>
    <w:sdtContent>
      <w:p>
        <w:pPr>
          <w:pStyle w:val="1035"/>
          <w:pBdr/>
          <w:spacing/>
          <w:ind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1035"/>
      <w:pBdr/>
      <w:spacing/>
      <w:ind/>
      <w:jc w:val="center"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79785014"/>
      <w:docPartObj>
        <w:docPartGallery w:val="Page Numbers (Top of Page)"/>
        <w:docPartUnique w:val="true"/>
      </w:docPartObj>
      <w:rPr/>
    </w:sdtPr>
    <w:sdtContent>
      <w:p>
        <w:pPr>
          <w:pStyle w:val="1035"/>
          <w:pBdr/>
          <w:spacing/>
          <w:ind/>
          <w:jc w:val="center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103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269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4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1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8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5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3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0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7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462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450" w:left="1301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422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633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4484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69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906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7757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8968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30"/>
      </w:pPr>
      <w:rPr>
        <w:rFonts w:hint="default" w:eastAsiaTheme="minorEastAsia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 w:eastAsiaTheme="minorEastAsia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160"/>
      </w:pPr>
      <w:rPr>
        <w:rFonts w:hint="default" w:eastAsiaTheme="minorEastAsia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160"/>
      </w:pPr>
      <w:rPr>
        <w:rFonts w:hint="default" w:eastAsiaTheme="minorEastAsia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520"/>
      </w:pPr>
      <w:rPr>
        <w:rFonts w:hint="default" w:eastAsiaTheme="minorEastAsia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880"/>
      </w:pPr>
      <w:rPr>
        <w:rFonts w:hint="default" w:eastAsiaTheme="minorEastAsia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880"/>
      </w:pPr>
      <w:rPr>
        <w:rFonts w:hint="default" w:eastAsiaTheme="minorEastAsia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240"/>
      </w:pPr>
      <w:rPr>
        <w:rFonts w:hint="default" w:eastAsiaTheme="minorEastAsia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7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4">
    <w:lvl w:ilvl="0">
      <w:isLgl w:val="false"/>
      <w:lvlJc w:val="left"/>
      <w:lvlText w:val="%1)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450" w:left="1301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422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633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4484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69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906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7757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8968"/>
      </w:pPr>
      <w:rPr>
        <w:rFonts w:hint="default"/>
      </w:rPr>
      <w:start w:val="1"/>
      <w:suff w:val="tab"/>
    </w:lvl>
  </w:abstractNum>
  <w:abstractNum w:abstractNumId="6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29"/>
      </w:pPr>
      <w:rPr>
        <w:rFonts w:hint="default"/>
      </w:rPr>
      <w:start w:val="13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778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48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36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54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254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03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312"/>
      </w:pPr>
      <w:rPr>
        <w:rFonts w:hint="default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1275" w:left="2126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2."/>
      <w:numFmt w:val="decimal"/>
      <w:pPr>
        <w:pBdr/>
        <w:spacing/>
        <w:ind w:hanging="720" w:left="1430"/>
      </w:pPr>
      <w:rPr>
        <w:rFonts w:ascii="Times New Roman" w:hAnsi="Times New Roman" w:eastAsia="Times New Roman" w:cs="Times New Roman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6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upperRoman"/>
      <w:pPr>
        <w:pBdr/>
        <w:spacing/>
        <w:ind w:hanging="720" w:left="144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43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44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80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80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16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5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52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880"/>
      </w:pPr>
      <w:rPr>
        <w:rFonts w:hint="default"/>
      </w:rPr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450" w:left="1301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422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633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4484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69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906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7757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8968"/>
      </w:pPr>
      <w:rPr>
        <w:rFonts w:hint="default"/>
      </w:rPr>
      <w:start w:val="1"/>
      <w:suff w:val="tab"/>
    </w:lvl>
  </w:abstractNum>
  <w:abstractNum w:abstractNumId="20">
    <w:lvl w:ilvl="0">
      <w:isLgl w:val="false"/>
      <w:lvlJc w:val="left"/>
      <w:lvlText w:val="%1"/>
      <w:numFmt w:val="decimal"/>
      <w:pPr>
        <w:pBdr/>
        <w:spacing/>
        <w:ind w:hanging="360" w:left="396"/>
      </w:pPr>
      <w:rPr>
        <w:rFonts w:hint="default"/>
      </w:rPr>
      <w:start w:val="2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1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3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5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7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9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1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3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56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2."/>
      <w:numFmt w:val="decimal"/>
      <w:pPr>
        <w:pBdr/>
        <w:spacing/>
        <w:ind w:hanging="720" w:left="1430"/>
      </w:pPr>
      <w:rPr>
        <w:rFonts w:ascii="Times New Roman" w:hAnsi="Times New Roman" w:eastAsia="Times New Roman" w:cs="Times New Roman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22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9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25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6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43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5400"/>
      </w:pPr>
      <w:rPr>
        <w:rFonts w:hint="default"/>
      </w:rPr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7">
    <w:lvl w:ilvl="0">
      <w:isLgl w:val="false"/>
      <w:lvlJc w:val="left"/>
      <w:lvlText w:val="%1."/>
      <w:numFmt w:val="decimal"/>
      <w:pPr>
        <w:pBdr/>
        <w:spacing/>
        <w:ind w:hanging="450" w:left="1301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422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633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4484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69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906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7757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8968"/>
      </w:pPr>
      <w:rPr>
        <w:rFonts w:hint="default"/>
      </w:rPr>
      <w:start w:val="1"/>
      <w:suff w:val="tab"/>
    </w:lvl>
  </w:abstractNum>
  <w:abstractNum w:abstractNumId="28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9">
    <w:lvl w:ilvl="0">
      <w:isLgl w:val="false"/>
      <w:lvlJc w:val="left"/>
      <w:lvlText w:val="%1."/>
      <w:numFmt w:val="upperRoman"/>
      <w:pPr>
        <w:pBdr/>
        <w:spacing/>
        <w:ind w:hanging="720" w:left="144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1">
    <w:lvl w:ilvl="0">
      <w:isLgl w:val="false"/>
      <w:lvlJc w:val="left"/>
      <w:lvlText w:val="%1."/>
      <w:numFmt w:val="decimal"/>
      <w:pPr>
        <w:pBdr/>
        <w:spacing/>
        <w:ind w:hanging="360" w:left="18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5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4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1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60"/>
      </w:pPr>
      <w:rPr/>
      <w:start w:val="1"/>
      <w:suff w:val="tab"/>
    </w:lvl>
  </w:abstractNum>
  <w:abstractNum w:abstractNumId="3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3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5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6">
    <w:lvl w:ilvl="0">
      <w:isLgl w:val="false"/>
      <w:lvlJc w:val="left"/>
      <w:lvlText w:val="%1"/>
      <w:numFmt w:val="decimal"/>
      <w:pPr>
        <w:pBdr/>
        <w:spacing/>
        <w:ind w:hanging="360" w:left="396"/>
      </w:pPr>
      <w:rPr>
        <w:rFonts w:hint="default"/>
      </w:rPr>
      <w:start w:val="2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11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3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5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7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9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71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3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56"/>
      </w:pPr>
      <w:rPr/>
      <w:start w:val="1"/>
      <w:suff w:val="tab"/>
    </w:lvl>
  </w:abstractNum>
  <w:abstractNum w:abstractNumId="3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38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39">
    <w:lvl w:ilvl="0">
      <w:isLgl w:val="false"/>
      <w:lvlJc w:val="left"/>
      <w:lvlText w:val="%1."/>
      <w:numFmt w:val="decimal"/>
      <w:pPr>
        <w:pBdr/>
        <w:spacing/>
        <w:ind w:hanging="360" w:left="18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5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4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1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60"/>
      </w:pPr>
      <w:rPr/>
      <w:start w:val="1"/>
      <w:suff w:val="tab"/>
    </w:lvl>
  </w:abstractNum>
  <w:abstractNum w:abstractNumId="40">
    <w:lvl w:ilvl="0">
      <w:isLgl w:val="false"/>
      <w:lvlJc w:val="left"/>
      <w:lvlText w:val="%1)"/>
      <w:numFmt w:val="decimal"/>
      <w:pPr>
        <w:pBdr/>
        <w:spacing/>
        <w:ind w:hanging="360" w:left="149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41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2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3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44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2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5"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422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3633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4484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569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6906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7757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8968"/>
      </w:pPr>
      <w:rPr>
        <w:rFonts w:hint="default"/>
      </w:rPr>
      <w:start w:val="1"/>
      <w:suff w:val="tab"/>
    </w:lvl>
  </w:abstractNum>
  <w:abstractNum w:abstractNumId="4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48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num w:numId="1">
    <w:abstractNumId w:val="0"/>
  </w:num>
  <w:num w:numId="2">
    <w:abstractNumId w:val="8"/>
  </w:num>
  <w:num w:numId="3">
    <w:abstractNumId w:val="26"/>
  </w:num>
  <w:num w:numId="4">
    <w:abstractNumId w:val="32"/>
  </w:num>
  <w:num w:numId="5">
    <w:abstractNumId w:val="43"/>
  </w:num>
  <w:num w:numId="6">
    <w:abstractNumId w:val="40"/>
  </w:num>
  <w:num w:numId="7">
    <w:abstractNumId w:val="4"/>
  </w:num>
  <w:num w:numId="8">
    <w:abstractNumId w:val="7"/>
  </w:num>
  <w:num w:numId="9">
    <w:abstractNumId w:val="3"/>
  </w:num>
  <w:num w:numId="10">
    <w:abstractNumId w:val="30"/>
  </w:num>
  <w:num w:numId="11">
    <w:abstractNumId w:val="38"/>
  </w:num>
  <w:num w:numId="12">
    <w:abstractNumId w:val="12"/>
  </w:num>
  <w:num w:numId="13">
    <w:abstractNumId w:val="14"/>
  </w:num>
  <w:num w:numId="14">
    <w:abstractNumId w:val="24"/>
  </w:num>
  <w:num w:numId="15">
    <w:abstractNumId w:val="10"/>
  </w:num>
  <w:num w:numId="16">
    <w:abstractNumId w:val="18"/>
  </w:num>
  <w:num w:numId="17">
    <w:abstractNumId w:val="21"/>
  </w:num>
  <w:num w:numId="18">
    <w:abstractNumId w:val="45"/>
  </w:num>
  <w:num w:numId="19">
    <w:abstractNumId w:val="5"/>
  </w:num>
  <w:num w:numId="20">
    <w:abstractNumId w:val="27"/>
  </w:num>
  <w:num w:numId="21">
    <w:abstractNumId w:val="34"/>
  </w:num>
  <w:num w:numId="22">
    <w:abstractNumId w:val="13"/>
  </w:num>
  <w:num w:numId="23">
    <w:abstractNumId w:val="9"/>
  </w:num>
  <w:num w:numId="24">
    <w:abstractNumId w:val="6"/>
  </w:num>
  <w:num w:numId="25">
    <w:abstractNumId w:val="23"/>
  </w:num>
  <w:num w:numId="26">
    <w:abstractNumId w:val="16"/>
  </w:num>
  <w:num w:numId="27">
    <w:abstractNumId w:val="15"/>
  </w:num>
  <w:num w:numId="28">
    <w:abstractNumId w:val="2"/>
  </w:num>
  <w:num w:numId="29">
    <w:abstractNumId w:val="37"/>
  </w:num>
  <w:num w:numId="30">
    <w:abstractNumId w:val="31"/>
  </w:num>
  <w:num w:numId="31">
    <w:abstractNumId w:val="39"/>
  </w:num>
  <w:num w:numId="32">
    <w:abstractNumId w:val="1"/>
  </w:num>
  <w:num w:numId="33">
    <w:abstractNumId w:val="19"/>
  </w:num>
  <w:num w:numId="34">
    <w:abstractNumId w:val="33"/>
  </w:num>
  <w:num w:numId="35">
    <w:abstractNumId w:val="46"/>
  </w:num>
  <w:num w:numId="36">
    <w:abstractNumId w:val="25"/>
  </w:num>
  <w:num w:numId="37">
    <w:abstractNumId w:val="11"/>
  </w:num>
  <w:num w:numId="38">
    <w:abstractNumId w:val="44"/>
  </w:num>
  <w:num w:numId="39">
    <w:abstractNumId w:val="22"/>
  </w:num>
  <w:num w:numId="40">
    <w:abstractNumId w:val="28"/>
  </w:num>
  <w:num w:numId="41">
    <w:abstractNumId w:val="36"/>
  </w:num>
  <w:num w:numId="42">
    <w:abstractNumId w:val="20"/>
  </w:num>
  <w:num w:numId="43">
    <w:abstractNumId w:val="41"/>
  </w:num>
  <w:num w:numId="44">
    <w:abstractNumId w:val="35"/>
  </w:num>
  <w:num w:numId="45">
    <w:abstractNumId w:val="29"/>
  </w:num>
  <w:num w:numId="46">
    <w:abstractNumId w:val="17"/>
  </w:num>
  <w:num w:numId="47">
    <w:abstractNumId w:val="42"/>
  </w:num>
  <w:num w:numId="48">
    <w:abstractNumId w:val="47"/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49">
    <w:name w:val="Table Grid Light"/>
    <w:basedOn w:val="10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Plain Table 1"/>
    <w:basedOn w:val="10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Plain Table 2"/>
    <w:basedOn w:val="10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Plain Table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Plain Table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Plain Table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1 Light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1 Light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1 Light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1 Light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1 Light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1 Light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1 Light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2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2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2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2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2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2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3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3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3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3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3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3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4"/>
    <w:basedOn w:val="10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4 - Accent 1"/>
    <w:basedOn w:val="10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4 - Accent 2"/>
    <w:basedOn w:val="10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4 - Accent 3"/>
    <w:basedOn w:val="10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4 - Accent 4"/>
    <w:basedOn w:val="10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4 - Accent 5"/>
    <w:basedOn w:val="10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4 - Accent 6"/>
    <w:basedOn w:val="10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5 Dark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5 Dark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5 Dark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5 Dark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5 Dark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5 Dark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5 Dark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6 Colorful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6 Colorful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6 Colorful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6 Colorful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6 Colorful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6 Colorful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6 Colorful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7 Colorful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7 Colorful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7 Colorful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7 Colorful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7 Colorful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7 Colorful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7 Colorful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1 Light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1 Light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1 Light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1 Light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1 Light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1 Light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1 Light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2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2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2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2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2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2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3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3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3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3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3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3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4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4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4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4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4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4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5 Dark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5 Dark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5 Dark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5 Dark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5 Dark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5 Dark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5 Dark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6 Colorful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6 Colorful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6 Colorful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6 Colorful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6 Colorful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6 Colorful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6 Colorful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7 Colorful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7 Colorful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7 Colorful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7 Colorful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7 Colorful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7 Colorful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7 Colorful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ned - Accent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ned - Accent 1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ned - Accent 2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ned - Accent 3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ned - Accent 4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ned - Accent 5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ned - Accent 6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Bordered &amp; Lined - Accent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Bordered &amp; Lined - Accent 1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Bordered &amp; Lined - Accent 2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Bordered &amp; Lined - Accent 3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Bordered &amp; Lined - Accent 4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Bordered &amp; Lined - Accent 5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Bordered &amp; Lined - Accent 6"/>
    <w:basedOn w:val="10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Bordered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Bordered - Accent 1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Bordered - Accent 2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Bordered - Accent 3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Bordered - Accent 4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Bordered - Accent 5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Bordered - Accent 6"/>
    <w:basedOn w:val="10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4">
    <w:name w:val="Heading 1"/>
    <w:basedOn w:val="1029"/>
    <w:next w:val="1029"/>
    <w:link w:val="98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75">
    <w:name w:val="Heading 2"/>
    <w:basedOn w:val="1029"/>
    <w:next w:val="1029"/>
    <w:link w:val="98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76">
    <w:name w:val="Heading 3"/>
    <w:basedOn w:val="1029"/>
    <w:next w:val="1029"/>
    <w:link w:val="98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77">
    <w:name w:val="Heading 4"/>
    <w:basedOn w:val="1029"/>
    <w:next w:val="1029"/>
    <w:link w:val="98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78">
    <w:name w:val="Heading 5"/>
    <w:basedOn w:val="1029"/>
    <w:next w:val="1029"/>
    <w:link w:val="98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79">
    <w:name w:val="Heading 6"/>
    <w:basedOn w:val="1029"/>
    <w:next w:val="1029"/>
    <w:link w:val="98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80">
    <w:name w:val="Heading 7"/>
    <w:basedOn w:val="1029"/>
    <w:next w:val="1029"/>
    <w:link w:val="98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81">
    <w:name w:val="Heading 8"/>
    <w:basedOn w:val="1029"/>
    <w:next w:val="1029"/>
    <w:link w:val="99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82">
    <w:name w:val="Heading 9"/>
    <w:basedOn w:val="1029"/>
    <w:next w:val="1029"/>
    <w:link w:val="99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83">
    <w:name w:val="Heading 1 Char"/>
    <w:basedOn w:val="1030"/>
    <w:link w:val="9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84">
    <w:name w:val="Heading 2 Char"/>
    <w:basedOn w:val="1030"/>
    <w:link w:val="9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85">
    <w:name w:val="Heading 3 Char"/>
    <w:basedOn w:val="1030"/>
    <w:link w:val="9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86">
    <w:name w:val="Heading 4 Char"/>
    <w:basedOn w:val="1030"/>
    <w:link w:val="97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87">
    <w:name w:val="Heading 5 Char"/>
    <w:basedOn w:val="1030"/>
    <w:link w:val="9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88">
    <w:name w:val="Heading 6 Char"/>
    <w:basedOn w:val="1030"/>
    <w:link w:val="97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89">
    <w:name w:val="Heading 7 Char"/>
    <w:basedOn w:val="1030"/>
    <w:link w:val="98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90">
    <w:name w:val="Heading 8 Char"/>
    <w:basedOn w:val="1030"/>
    <w:link w:val="9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91">
    <w:name w:val="Heading 9 Char"/>
    <w:basedOn w:val="1030"/>
    <w:link w:val="98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92">
    <w:name w:val="Title"/>
    <w:basedOn w:val="1029"/>
    <w:next w:val="1029"/>
    <w:link w:val="99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93">
    <w:name w:val="Title Char"/>
    <w:basedOn w:val="1030"/>
    <w:link w:val="99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94">
    <w:name w:val="Subtitle"/>
    <w:basedOn w:val="1029"/>
    <w:next w:val="1029"/>
    <w:link w:val="99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95">
    <w:name w:val="Subtitle Char"/>
    <w:basedOn w:val="1030"/>
    <w:link w:val="99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96">
    <w:name w:val="Quote"/>
    <w:basedOn w:val="1029"/>
    <w:next w:val="1029"/>
    <w:link w:val="99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97">
    <w:name w:val="Quote Char"/>
    <w:basedOn w:val="1030"/>
    <w:link w:val="99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98">
    <w:name w:val="Intense Emphasis"/>
    <w:basedOn w:val="10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99">
    <w:name w:val="Intense Quote"/>
    <w:basedOn w:val="1029"/>
    <w:next w:val="1029"/>
    <w:link w:val="100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00">
    <w:name w:val="Intense Quote Char"/>
    <w:basedOn w:val="1030"/>
    <w:link w:val="99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01">
    <w:name w:val="Intense Reference"/>
    <w:basedOn w:val="10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02">
    <w:name w:val="No Spacing"/>
    <w:basedOn w:val="1029"/>
    <w:uiPriority w:val="1"/>
    <w:qFormat/>
    <w:pPr>
      <w:pBdr/>
      <w:spacing w:after="0" w:line="240" w:lineRule="auto"/>
      <w:ind/>
    </w:pPr>
  </w:style>
  <w:style w:type="character" w:styleId="1003">
    <w:name w:val="Subtle Emphasis"/>
    <w:basedOn w:val="10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04">
    <w:name w:val="Emphasis"/>
    <w:basedOn w:val="1030"/>
    <w:uiPriority w:val="20"/>
    <w:qFormat/>
    <w:pPr>
      <w:pBdr/>
      <w:spacing/>
      <w:ind/>
    </w:pPr>
    <w:rPr>
      <w:i/>
      <w:iCs/>
    </w:rPr>
  </w:style>
  <w:style w:type="character" w:styleId="1005">
    <w:name w:val="Strong"/>
    <w:basedOn w:val="1030"/>
    <w:uiPriority w:val="22"/>
    <w:qFormat/>
    <w:pPr>
      <w:pBdr/>
      <w:spacing/>
      <w:ind/>
    </w:pPr>
    <w:rPr>
      <w:b/>
      <w:bCs/>
    </w:rPr>
  </w:style>
  <w:style w:type="character" w:styleId="1006">
    <w:name w:val="Subtle Reference"/>
    <w:basedOn w:val="10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07">
    <w:name w:val="Book Title"/>
    <w:basedOn w:val="103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8">
    <w:name w:val="Header Char"/>
    <w:basedOn w:val="1030"/>
    <w:link w:val="1035"/>
    <w:uiPriority w:val="99"/>
    <w:pPr>
      <w:pBdr/>
      <w:spacing/>
      <w:ind/>
    </w:pPr>
  </w:style>
  <w:style w:type="character" w:styleId="1009">
    <w:name w:val="Footer Char"/>
    <w:basedOn w:val="1030"/>
    <w:link w:val="1037"/>
    <w:uiPriority w:val="99"/>
    <w:pPr>
      <w:pBdr/>
      <w:spacing/>
      <w:ind/>
    </w:pPr>
  </w:style>
  <w:style w:type="paragraph" w:styleId="1010">
    <w:name w:val="Caption"/>
    <w:basedOn w:val="1029"/>
    <w:next w:val="102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11">
    <w:name w:val="footnote text"/>
    <w:basedOn w:val="1029"/>
    <w:link w:val="101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2">
    <w:name w:val="Footnote Text Char"/>
    <w:basedOn w:val="1030"/>
    <w:link w:val="1011"/>
    <w:uiPriority w:val="99"/>
    <w:semiHidden/>
    <w:pPr>
      <w:pBdr/>
      <w:spacing/>
      <w:ind/>
    </w:pPr>
    <w:rPr>
      <w:sz w:val="20"/>
      <w:szCs w:val="20"/>
    </w:rPr>
  </w:style>
  <w:style w:type="character" w:styleId="1013">
    <w:name w:val="footnote reference"/>
    <w:basedOn w:val="1030"/>
    <w:uiPriority w:val="99"/>
    <w:semiHidden/>
    <w:unhideWhenUsed/>
    <w:pPr>
      <w:pBdr/>
      <w:spacing/>
      <w:ind/>
    </w:pPr>
    <w:rPr>
      <w:vertAlign w:val="superscript"/>
    </w:rPr>
  </w:style>
  <w:style w:type="paragraph" w:styleId="1014">
    <w:name w:val="endnote text"/>
    <w:basedOn w:val="1029"/>
    <w:link w:val="101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15">
    <w:name w:val="Endnote Text Char"/>
    <w:basedOn w:val="1030"/>
    <w:link w:val="1014"/>
    <w:uiPriority w:val="99"/>
    <w:semiHidden/>
    <w:pPr>
      <w:pBdr/>
      <w:spacing/>
      <w:ind/>
    </w:pPr>
    <w:rPr>
      <w:sz w:val="20"/>
      <w:szCs w:val="20"/>
    </w:rPr>
  </w:style>
  <w:style w:type="character" w:styleId="1016">
    <w:name w:val="endnote reference"/>
    <w:basedOn w:val="1030"/>
    <w:uiPriority w:val="99"/>
    <w:semiHidden/>
    <w:unhideWhenUsed/>
    <w:pPr>
      <w:pBdr/>
      <w:spacing/>
      <w:ind/>
    </w:pPr>
    <w:rPr>
      <w:vertAlign w:val="superscript"/>
    </w:rPr>
  </w:style>
  <w:style w:type="character" w:styleId="1017">
    <w:name w:val="FollowedHyperlink"/>
    <w:basedOn w:val="10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18">
    <w:name w:val="toc 1"/>
    <w:basedOn w:val="1029"/>
    <w:next w:val="1029"/>
    <w:uiPriority w:val="39"/>
    <w:unhideWhenUsed/>
    <w:pPr>
      <w:pBdr/>
      <w:spacing w:after="100"/>
      <w:ind/>
    </w:pPr>
  </w:style>
  <w:style w:type="paragraph" w:styleId="1019">
    <w:name w:val="toc 2"/>
    <w:basedOn w:val="1029"/>
    <w:next w:val="1029"/>
    <w:uiPriority w:val="39"/>
    <w:unhideWhenUsed/>
    <w:pPr>
      <w:pBdr/>
      <w:spacing w:after="100"/>
      <w:ind w:left="220"/>
    </w:pPr>
  </w:style>
  <w:style w:type="paragraph" w:styleId="1020">
    <w:name w:val="toc 3"/>
    <w:basedOn w:val="1029"/>
    <w:next w:val="1029"/>
    <w:uiPriority w:val="39"/>
    <w:unhideWhenUsed/>
    <w:pPr>
      <w:pBdr/>
      <w:spacing w:after="100"/>
      <w:ind w:left="440"/>
    </w:pPr>
  </w:style>
  <w:style w:type="paragraph" w:styleId="1021">
    <w:name w:val="toc 4"/>
    <w:basedOn w:val="1029"/>
    <w:next w:val="1029"/>
    <w:uiPriority w:val="39"/>
    <w:unhideWhenUsed/>
    <w:pPr>
      <w:pBdr/>
      <w:spacing w:after="100"/>
      <w:ind w:left="660"/>
    </w:pPr>
  </w:style>
  <w:style w:type="paragraph" w:styleId="1022">
    <w:name w:val="toc 5"/>
    <w:basedOn w:val="1029"/>
    <w:next w:val="1029"/>
    <w:uiPriority w:val="39"/>
    <w:unhideWhenUsed/>
    <w:pPr>
      <w:pBdr/>
      <w:spacing w:after="100"/>
      <w:ind w:left="880"/>
    </w:pPr>
  </w:style>
  <w:style w:type="paragraph" w:styleId="1023">
    <w:name w:val="toc 6"/>
    <w:basedOn w:val="1029"/>
    <w:next w:val="1029"/>
    <w:uiPriority w:val="39"/>
    <w:unhideWhenUsed/>
    <w:pPr>
      <w:pBdr/>
      <w:spacing w:after="100"/>
      <w:ind w:left="1100"/>
    </w:pPr>
  </w:style>
  <w:style w:type="paragraph" w:styleId="1024">
    <w:name w:val="toc 7"/>
    <w:basedOn w:val="1029"/>
    <w:next w:val="1029"/>
    <w:uiPriority w:val="39"/>
    <w:unhideWhenUsed/>
    <w:pPr>
      <w:pBdr/>
      <w:spacing w:after="100"/>
      <w:ind w:left="1320"/>
    </w:pPr>
  </w:style>
  <w:style w:type="paragraph" w:styleId="1025">
    <w:name w:val="toc 8"/>
    <w:basedOn w:val="1029"/>
    <w:next w:val="1029"/>
    <w:uiPriority w:val="39"/>
    <w:unhideWhenUsed/>
    <w:pPr>
      <w:pBdr/>
      <w:spacing w:after="100"/>
      <w:ind w:left="1540"/>
    </w:pPr>
  </w:style>
  <w:style w:type="paragraph" w:styleId="1026">
    <w:name w:val="toc 9"/>
    <w:basedOn w:val="1029"/>
    <w:next w:val="1029"/>
    <w:uiPriority w:val="39"/>
    <w:unhideWhenUsed/>
    <w:pPr>
      <w:pBdr/>
      <w:spacing w:after="100"/>
      <w:ind w:left="1760"/>
    </w:pPr>
  </w:style>
  <w:style w:type="paragraph" w:styleId="1027">
    <w:name w:val="TOC Heading"/>
    <w:uiPriority w:val="39"/>
    <w:unhideWhenUsed/>
    <w:pPr>
      <w:pBdr/>
      <w:spacing/>
      <w:ind/>
    </w:pPr>
  </w:style>
  <w:style w:type="paragraph" w:styleId="1028">
    <w:name w:val="table of figures"/>
    <w:basedOn w:val="1029"/>
    <w:next w:val="1029"/>
    <w:uiPriority w:val="99"/>
    <w:unhideWhenUsed/>
    <w:pPr>
      <w:pBdr/>
      <w:spacing w:after="0" w:afterAutospacing="0"/>
      <w:ind/>
    </w:pPr>
  </w:style>
  <w:style w:type="paragraph" w:styleId="1029" w:default="1">
    <w:name w:val="Normal"/>
    <w:qFormat/>
    <w:pPr>
      <w:pBdr/>
      <w:spacing/>
      <w:ind/>
    </w:pPr>
  </w:style>
  <w:style w:type="character" w:styleId="1030" w:default="1">
    <w:name w:val="Default Paragraph Font"/>
    <w:uiPriority w:val="1"/>
    <w:semiHidden/>
    <w:unhideWhenUsed/>
    <w:pPr>
      <w:pBdr/>
      <w:spacing/>
      <w:ind/>
    </w:pPr>
  </w:style>
  <w:style w:type="table" w:styleId="103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32" w:default="1">
    <w:name w:val="No List"/>
    <w:uiPriority w:val="99"/>
    <w:semiHidden/>
    <w:unhideWhenUsed/>
    <w:pPr>
      <w:pBdr/>
      <w:spacing/>
      <w:ind/>
    </w:pPr>
  </w:style>
  <w:style w:type="paragraph" w:styleId="1033">
    <w:name w:val="List Paragraph"/>
    <w:basedOn w:val="1029"/>
    <w:uiPriority w:val="34"/>
    <w:qFormat/>
    <w:pPr>
      <w:pBdr/>
      <w:spacing/>
      <w:ind w:left="720"/>
      <w:contextualSpacing w:val="true"/>
    </w:pPr>
  </w:style>
  <w:style w:type="table" w:styleId="1034">
    <w:name w:val="Table Grid"/>
    <w:basedOn w:val="1031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5">
    <w:name w:val="Header"/>
    <w:basedOn w:val="1029"/>
    <w:link w:val="103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36" w:customStyle="1">
    <w:name w:val="Верхний колонтитул Знак"/>
    <w:basedOn w:val="1030"/>
    <w:link w:val="1035"/>
    <w:uiPriority w:val="99"/>
    <w:pPr>
      <w:pBdr/>
      <w:spacing/>
      <w:ind/>
    </w:pPr>
  </w:style>
  <w:style w:type="paragraph" w:styleId="1037">
    <w:name w:val="Footer"/>
    <w:basedOn w:val="1029"/>
    <w:link w:val="103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1038" w:customStyle="1">
    <w:name w:val="Нижний колонтитул Знак"/>
    <w:basedOn w:val="1030"/>
    <w:link w:val="1037"/>
    <w:uiPriority w:val="99"/>
    <w:pPr>
      <w:pBdr/>
      <w:spacing/>
      <w:ind/>
    </w:pPr>
  </w:style>
  <w:style w:type="paragraph" w:styleId="1039">
    <w:name w:val="Document Map"/>
    <w:basedOn w:val="1029"/>
    <w:link w:val="1040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40" w:customStyle="1">
    <w:name w:val="Схема документа Знак"/>
    <w:basedOn w:val="1030"/>
    <w:link w:val="1039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41">
    <w:name w:val="Balloon Text"/>
    <w:basedOn w:val="1029"/>
    <w:link w:val="1042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1042" w:customStyle="1">
    <w:name w:val="Текст выноски Знак"/>
    <w:basedOn w:val="1030"/>
    <w:link w:val="1041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1043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eastAsia="Times New Roman" w:cs="Calibri"/>
      <w:szCs w:val="20"/>
      <w:lang w:eastAsia="ru-RU"/>
    </w:rPr>
  </w:style>
  <w:style w:type="paragraph" w:styleId="1044" w:customStyle="1">
    <w:name w:val="ConsPlusTitle"/>
    <w:uiPriority w:val="99"/>
    <w:pPr>
      <w:widowControl w:val="false"/>
      <w:pBdr/>
      <w:spacing w:after="0" w:line="240" w:lineRule="auto"/>
      <w:ind/>
    </w:pPr>
    <w:rPr>
      <w:rFonts w:ascii="Calibri" w:hAnsi="Calibri" w:eastAsia="Times New Roman" w:cs="Calibri"/>
      <w:b/>
      <w:szCs w:val="20"/>
      <w:lang w:eastAsia="ru-RU"/>
    </w:rPr>
  </w:style>
  <w:style w:type="character" w:styleId="1045">
    <w:name w:val="Hyperlink"/>
    <w:basedOn w:val="1030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46">
    <w:name w:val="Placeholder Text"/>
    <w:basedOn w:val="1030"/>
    <w:uiPriority w:val="99"/>
    <w:semiHidden/>
    <w:pPr>
      <w:pBdr/>
      <w:spacing/>
      <w:ind/>
    </w:pPr>
    <w:rPr>
      <w:color w:val="666666"/>
    </w:rPr>
  </w:style>
  <w:style w:type="character" w:styleId="1047" w:customStyle="1">
    <w:name w:val="Неразрешенное упоминание1"/>
    <w:basedOn w:val="103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table" w:styleId="1048" w:customStyle="1">
    <w:name w:val="Grid Table Light"/>
    <w:basedOn w:val="1007"/>
    <w:uiPriority w:val="40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Layout w:type="autofit"/>
    </w:tblPr>
    <w:trPr>
      <w:cantSplit w:val="false"/>
      <w:jc w:val="left"/>
    </w:trPr>
    <w:tcPr>
      <w:tcBorders/>
      <w:tcW w:w="0" w:type="auto"/>
      <w:vAlign w:val="top"/>
      <w:vMerge w:val="restart"/>
      <w:hMerge w:val="restart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46AC423F-860D-404E-9C92-80887B282CC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revision>21</cp:revision>
  <dcterms:created xsi:type="dcterms:W3CDTF">2024-08-12T14:11:00Z</dcterms:created>
  <dcterms:modified xsi:type="dcterms:W3CDTF">2026-08-03T12:14:07Z</dcterms:modified>
</cp:coreProperties>
</file>