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</w:p>
    <w:p>
      <w:pPr>
        <w:pStyle w:val="942"/>
        <w:rPr>
          <w:highlight w:val="none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p>
      <w:pPr>
        <w:pStyle w:val="942"/>
        <w:rPr>
          <w:highlight w:val="none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p>
      <w:pPr>
        <w:pStyle w:val="942"/>
        <w:rPr>
          <w:highlight w:val="none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p>
      <w:pPr>
        <w:pStyle w:val="942"/>
        <w:rPr>
          <w:highlight w:val="none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p>
      <w:pPr>
        <w:pStyle w:val="942"/>
        <w:rPr>
          <w:highlight w:val="none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p>
      <w:pPr>
        <w:pStyle w:val="942"/>
        <w:rPr>
          <w:highlight w:val="none"/>
          <w:lang w:val="en-US"/>
        </w:rPr>
      </w:pPr>
      <w:r>
        <w:rPr>
          <w:b/>
          <w:spacing w:val="-20"/>
          <w:szCs w:val="28"/>
        </w:rPr>
      </w:r>
      <w:r>
        <w:rPr>
          <w:highlight w:val="none"/>
          <w:lang w:val="en-US"/>
        </w:rPr>
      </w:r>
      <w:r>
        <w:rPr>
          <w:highlight w:val="none"/>
          <w:lang w:val="en-US"/>
        </w:rPr>
      </w:r>
    </w:p>
    <w:tbl>
      <w:tblPr>
        <w:tblStyle w:val="95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2"/>
        <w:gridCol w:w="4671"/>
      </w:tblGrid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внесении изменени</w:t>
            </w:r>
            <w:r>
              <w:rPr>
                <w:bCs/>
                <w:sz w:val="28"/>
                <w:szCs w:val="28"/>
              </w:rPr>
              <w:t xml:space="preserve">я</w:t>
            </w:r>
            <w:r>
              <w:rPr>
                <w:bCs/>
                <w:sz w:val="28"/>
                <w:szCs w:val="28"/>
              </w:rPr>
              <w:t xml:space="preserve"> в Административный регламент предоставления государственной услуги по заключению договора о реализации инвестиционного проекта, утвержденный приказом Министерства экономики Республики Татарстан                 от 29.06.2016 № 211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671" w:type="dxa"/>
            <w:textDirection w:val="lrTb"/>
            <w:noWrap w:val="false"/>
          </w:tcPr>
          <w:p>
            <w:pPr>
              <w:jc w:val="center"/>
              <w:spacing w:line="30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риказываю: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 Внести в Административный регламент предоставления государственной услуги </w:t>
      </w:r>
      <w:r>
        <w:rPr>
          <w:bCs/>
          <w:sz w:val="28"/>
          <w:szCs w:val="28"/>
        </w:rPr>
        <w:t xml:space="preserve">по заключению договора о реализации инвестиционного проекта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утвержденный приказом Министерства экономики Республики Татарстан от 29.06.2016 № 211 </w:t>
      </w:r>
      <w:r>
        <w:rPr>
          <w:bCs/>
          <w:sz w:val="28"/>
          <w:szCs w:val="28"/>
        </w:rPr>
        <w:t xml:space="preserve">(с изменениями, внесенными приказ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м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 Министерства экономики</w:t>
      </w:r>
      <w:r>
        <w:rPr>
          <w:bCs/>
          <w:sz w:val="28"/>
          <w:szCs w:val="28"/>
        </w:rPr>
        <w:t xml:space="preserve"> Республики Татарстан от 10.05.2018 № 206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от 22.04.2020 № 199, </w:t>
      </w:r>
      <w:r>
        <w:rPr>
          <w:bCs/>
          <w:sz w:val="28"/>
          <w:szCs w:val="28"/>
        </w:rPr>
        <w:t xml:space="preserve">от 11.04.2021 № 4, от 29.08.2022 № 326</w:t>
      </w:r>
      <w:r>
        <w:rPr>
          <w:bCs/>
          <w:sz w:val="28"/>
          <w:szCs w:val="28"/>
        </w:rPr>
        <w:t xml:space="preserve">), </w:t>
      </w:r>
      <w:r>
        <w:rPr>
          <w:sz w:val="28"/>
          <w:szCs w:val="28"/>
        </w:rPr>
        <w:t xml:space="preserve">изменение, изложив его в новой редакции (прилагается).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  <w:shd w:val="clear" w:color="auto" w:fill="ffffff"/>
        </w:rPr>
        <w:t xml:space="preserve">Отделу по работе </w:t>
      </w:r>
      <w:r>
        <w:rPr>
          <w:bCs/>
          <w:sz w:val="28"/>
          <w:szCs w:val="28"/>
          <w:shd w:val="clear" w:color="auto" w:fill="ffffff"/>
        </w:rPr>
        <w:t xml:space="preserve">с общественностью и средствами массовой информации</w:t>
      </w:r>
      <w:r>
        <w:rPr>
          <w:sz w:val="28"/>
          <w:szCs w:val="28"/>
        </w:rPr>
        <w:t xml:space="preserve"> обеспечить размещение настоящего приказа на</w:t>
      </w:r>
      <w:r>
        <w:rPr>
          <w:sz w:val="28"/>
          <w:szCs w:val="28"/>
        </w:rPr>
        <w:t xml:space="preserve"> сайте Министерства экономики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3. Отделу </w:t>
      </w:r>
      <w:r>
        <w:rPr>
          <w:sz w:val="28"/>
          <w:szCs w:val="28"/>
        </w:rPr>
        <w:t xml:space="preserve">инвестиционной политики и экономического анализа проектов</w:t>
      </w:r>
      <w:r>
        <w:rPr>
          <w:sz w:val="28"/>
          <w:szCs w:val="28"/>
        </w:rPr>
        <w:t xml:space="preserve"> представить настоящий приказ на государственную регистрацию в Министерство юстиции Республики Татарстан в установленном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приказа возложить на заместителя министра </w:t>
      </w:r>
      <w:r>
        <w:rPr>
          <w:sz w:val="28"/>
          <w:szCs w:val="28"/>
        </w:rPr>
        <w:t xml:space="preserve">Д.Р.Шакирова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firstLine="709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52"/>
        <w:ind w:firstLine="709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9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Заместитель Премьер-министра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929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Республики Татарстан - министр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М.Р.Шагиахметов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r/>
      <w:r/>
    </w:p>
    <w:p>
      <w:pPr>
        <w:rPr>
          <w:sz w:val="28"/>
        </w:rPr>
      </w:pPr>
      <w:r>
        <w:br w:type="page" w:clear="all"/>
      </w:r>
      <w:r>
        <w:rPr>
          <w:sz w:val="28"/>
        </w:rPr>
      </w:r>
      <w:r>
        <w:rPr>
          <w:sz w:val="28"/>
        </w:rPr>
      </w:r>
    </w:p>
    <w:p>
      <w:pPr>
        <w:ind w:left="666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Утвержден приказом </w:t>
      </w:r>
      <w:r>
        <w:rPr>
          <w:bCs/>
          <w:sz w:val="28"/>
          <w:szCs w:val="28"/>
        </w:rPr>
        <w:t xml:space="preserve">Министерства экономики Республики Татарстан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66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29.06.2016 № 211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663"/>
        <w:jc w:val="both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(в редакции приказа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3"/>
        <w:jc w:val="both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Министерства экономики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3"/>
        <w:jc w:val="both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3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 № _____</w:t>
      </w:r>
      <w:bookmarkStart w:id="0" w:name="_GoBack"/>
      <w:r/>
      <w:bookmarkEnd w:id="0"/>
      <w:r>
        <w:rPr>
          <w:sz w:val="28"/>
          <w:szCs w:val="28"/>
        </w:rPr>
        <w:t xml:space="preserve">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государственной услуги по заключению договора о реализации инвестиционного проекта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1.1. Настоящий административный регламент (далее – Регламент) устанавливает стандарт и порядок предоставления государственной услуги по заключению договора о реализации инвестиционного </w:t>
      </w:r>
      <w:r>
        <w:rPr>
          <w:sz w:val="28"/>
          <w:szCs w:val="28"/>
          <w:highlight w:val="white"/>
        </w:rPr>
        <w:t xml:space="preserve">проекта (далее – государственная услуга).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highlight w:val="white"/>
        </w:rPr>
      </w:r>
      <w:hyperlink r:id="rId13" w:tooltip="https://login.consultant.ru/link/?req=doc&amp;base=RLAW363&amp;n=197555&amp;dst=100151&amp;field=134&amp;date=29.05.2026" w:history="1">
        <w:r>
          <w:rPr>
            <w:rStyle w:val="946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словных обозначений и сокращений приведен в приложении 1 к настоящему Регламенту.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 Заявители: юридические лица, указанные в приложении 2 к настоящему Регламенту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r>
        <w:rPr>
          <w:sz w:val="28"/>
          <w:szCs w:val="28"/>
        </w:rPr>
        <w:t xml:space="preserve">От имени заявителя вправе выступать уполномоченное им лицо на основании документов, оформленных в установленном порядке, подтверждающих предоставление ему соответствующих полномочий (далее - представитель заявителя).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hyperlink r:id="rId14" w:tooltip="https://login.consultant.ru/link/?req=doc&amp;base=RLAW363&amp;n=197555&amp;dst=100159&amp;field=134&amp;date=29.05.2026" w:history="1">
        <w:r>
          <w:rPr>
            <w:rStyle w:val="946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Идентификаторы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категорий (признаков) заявителей приведены в приложении 2 к настоящему Регламенту.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70"/>
        <w:ind w:left="0" w:right="0" w:firstLine="709"/>
        <w:jc w:val="both"/>
        <w:spacing w:before="0" w:beforeAutospacing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1.3. Государственная услуга предоставляется заявителю в соответствии с категориями (признаками) заявителя, сведения о котор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ых размещаются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hyperlink r:id="rId15" w:tooltip="https://www.gosuslugi.ru/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</w:rPr>
          <w:t xml:space="preserve">https://www.gosuslugi.ru/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), государственной информационной системе Республики Татарстан «Портал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государственных и муниципальных услуг Республики Татарстан»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hyperlink r:id="rId16" w:tooltip="http://uslugi.tatarstan.ru/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</w:rPr>
          <w:t xml:space="preserve">http://uslugi.tatarstan.ru/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(д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алее - соответственно Единый портал, Республиканский портал).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1"/>
        <w:jc w:val="center"/>
        <w:widowControl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2. Стандарт предоставления государственной услуги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 Наименование государственной услуги.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Заключение договора о реализации инвестиционного проекта.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органа, предоста</w:t>
      </w:r>
      <w:r>
        <w:rPr>
          <w:sz w:val="28"/>
          <w:szCs w:val="28"/>
        </w:rPr>
        <w:t xml:space="preserve">вляющего государственную услугу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экономики Республики Татарстан (далее – Министерство)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Исполнитель государственной услуги - отдел инвестиционной политики и экономического анализа проектов Министерства (далее - Отдел).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Министерство осуществляет рассмотрение заявки на получение государственной поддержки инвестиционного проекта, подготовку проекта распоряжения Кабинета Министров Республики Татарстан о заключении договора о реализации инвестиционного проекта</w:t>
      </w:r>
      <w:r>
        <w:rPr>
          <w:sz w:val="28"/>
          <w:szCs w:val="28"/>
        </w:rPr>
        <w:t xml:space="preserve"> (далее – проект распоряжения КМ РТ)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финансов Республики Татарстан осуществляет рассмотрение пакета документов заявителя и согласования проекта распоряжения КМ РТ.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Министров Республики Татарстан (далее – КМ РТ) осуществляет </w:t>
      </w:r>
      <w:r>
        <w:rPr>
          <w:sz w:val="28"/>
          <w:szCs w:val="28"/>
        </w:rPr>
        <w:t xml:space="preserve">принятие решения по вопросу предоставления государственной поддержки.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услуга через многофункциональный центр предоставления государственных и муниципальных услуг (далее - МФЦ)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Результат предоставления государственной услуги.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left="-79" w:firstLine="788"/>
        <w:jc w:val="both"/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Договор о реализации инвестиционного проекта (далее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д</w:t>
      </w:r>
      <w:r>
        <w:rPr>
          <w:sz w:val="28"/>
          <w:szCs w:val="28"/>
        </w:rPr>
        <w:t xml:space="preserve">оговор</w:t>
      </w:r>
      <w:r>
        <w:rPr>
          <w:sz w:val="28"/>
          <w:szCs w:val="28"/>
          <w:lang w:val="ru-RU"/>
        </w:rPr>
        <w:t xml:space="preserve">, инвестиционный проект</w:t>
      </w:r>
      <w:r>
        <w:rPr>
          <w:sz w:val="28"/>
          <w:szCs w:val="28"/>
        </w:rPr>
        <w:t xml:space="preserve">).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71"/>
        <w:ind w:left="-79" w:firstLine="788"/>
        <w:jc w:val="both"/>
        <w:spacing w:after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Уведомление об отказе в заключении договора с указанием причин отказа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 xml:space="preserve">далее - </w:t>
      </w:r>
      <w:r>
        <w:rPr>
          <w:sz w:val="28"/>
          <w:szCs w:val="28"/>
          <w:lang w:val="ru-RU"/>
        </w:rPr>
        <w:t xml:space="preserve">уведомление об отказе).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получает договор при личном посещении Министерства.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выдается (направляется) заявителю в соответствии с выбранным им способом получения: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письменной форме лично заявителю или почтовым отправлением;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по адресу электронной почты и (или) в личный кабинет заявителя на  Республиканском портале.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Срок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4"/>
        <w:ind w:firstLine="708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Максимальный срок предоставления государственной услуги для всех категорий (признаков) заявителей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со дня регистрации заявки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документов в Министерств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рок рассмотрения пакета документов организации и согласования проекта распоряжения КМ РТ в Министерстве финансов Республики Татарстан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осуществляется в сроки, установленн</w:t>
      </w:r>
      <w:r>
        <w:rPr>
          <w:sz w:val="28"/>
          <w:szCs w:val="28"/>
        </w:rPr>
        <w:t xml:space="preserve">ые пунктом 14 </w:t>
      </w:r>
      <w:r>
        <w:rPr>
          <w:sz w:val="28"/>
          <w:szCs w:val="28"/>
        </w:rPr>
        <w:t xml:space="preserve">Положения о порядке предоставления государственной поддержки организациям, реализующим инвестиционные проекты в Республике Татарстан, утвержденного постановлением </w:t>
      </w:r>
      <w:r>
        <w:rPr>
          <w:sz w:val="28"/>
          <w:szCs w:val="28"/>
        </w:rPr>
        <w:t xml:space="preserve">Кабинета Министров Республики Татарстан от 07.05.1999 № 284 (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алее </w:t>
      </w:r>
      <w:r>
        <w:rPr>
          <w:sz w:val="28"/>
          <w:szCs w:val="28"/>
        </w:rPr>
        <w:t xml:space="preserve">- Положение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(срок рассмотрения проекта распоряжения КМ РТ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Министерстве финансов Республики Татарстан не входит в срок </w:t>
      </w:r>
      <w:r>
        <w:rPr>
          <w:sz w:val="28"/>
          <w:szCs w:val="28"/>
        </w:rPr>
        <w:t xml:space="preserve">предоставления</w:t>
      </w:r>
      <w:r>
        <w:rPr>
          <w:sz w:val="28"/>
          <w:szCs w:val="28"/>
        </w:rPr>
        <w:t xml:space="preserve"> государственной услуги).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Срок принятия КМ РТ решения по вопросу предоставления государственной поддержки осуществляется в сроки, предусмотренные </w:t>
      </w:r>
      <w:hyperlink r:id="rId17" w:tooltip="consultantplus://offline/ref=42393502BC146386754AB5BD5CEE28BBC88677A18672F34D9E8753A1903F69B844CC3A5EC9EA22BF0EDE0CF2ACA4374B56C1D2419737C7422BFA98LAP2O" w:history="1">
        <w:r>
          <w:rPr>
            <w:sz w:val="28"/>
            <w:szCs w:val="28"/>
          </w:rPr>
          <w:t xml:space="preserve">Регламентом</w:t>
        </w:r>
      </w:hyperlink>
      <w:r>
        <w:rPr>
          <w:sz w:val="28"/>
          <w:szCs w:val="28"/>
        </w:rPr>
        <w:t xml:space="preserve"> Кабинета Министров Республики Татарстан - Правительства Республики Татарстан, утвержденным постановлением Кабинета </w:t>
      </w:r>
      <w:r>
        <w:rPr>
          <w:sz w:val="28"/>
          <w:szCs w:val="28"/>
        </w:rPr>
        <w:t xml:space="preserve">Министров Республики Татарстан от 05.12.2005 № 563 «Об утверждении Регламента Кабинета Министров Республики Татарстан - Правительства Республики Татарстан и Положения об Аппарате Кабинета Министров Республики Татарстан - Правительства Республики Татарстан»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срок принятия КМ РТ решения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входит в срок </w:t>
      </w:r>
      <w:r>
        <w:rPr>
          <w:sz w:val="28"/>
          <w:szCs w:val="28"/>
        </w:rPr>
        <w:t xml:space="preserve">предоставления</w:t>
      </w:r>
      <w:r>
        <w:rPr>
          <w:sz w:val="28"/>
          <w:szCs w:val="28"/>
        </w:rPr>
        <w:t xml:space="preserve"> государственной услуги).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</w:t>
      </w:r>
      <w:r>
        <w:rPr>
          <w:sz w:val="28"/>
          <w:szCs w:val="28"/>
        </w:rPr>
        <w:t xml:space="preserve">договора о реализации инвестиционного проекта</w:t>
      </w:r>
      <w:r>
        <w:rPr>
          <w:sz w:val="28"/>
          <w:szCs w:val="28"/>
        </w:rPr>
        <w:t xml:space="preserve">, являющегося результатом государственной услуги, осуществл</w:t>
      </w:r>
      <w:r>
        <w:rPr>
          <w:sz w:val="28"/>
          <w:szCs w:val="28"/>
        </w:rPr>
        <w:t xml:space="preserve">яется в день прибытия заявителя, либо направляется по почте в день оформления и регистрации результата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уведомления об отказе, способом указанным заявителем, в том числе в форме электронного документа, осуществляется в день оформления и регистрации результата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Размер платы, взимаемой с заявителя при предоставлении государственной услуги, и способы ее взимания.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услуга предоставляется на безвозмездной основе.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Очередность для отдельных категорий заявителей не установлена.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Срок регистрации запроса заявителя о предоставлении государственной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регистрируется в день ее поступления.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Заявка, поступившая в электронной форме на Республиканский портал, регистрируется в день ее поступления.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Заявка, поступившая в электронной форме в выходной (праздничный) день, в нерабочее время, регистрируется на следующий рабочий день.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предоставляются государственные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осуществляется в зданиях и помещениях, оборудованных противопожарной системой и системой пожаротушения, системой кондиционирования воздуха, необходимой мебелью для оформления документов, информационными стендами.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ограниченных возможностей инвалидов.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Присутственное место оборудовано электронным информационным киоском (инфомат), подключенным к Государственной интегрированной системе телекоммуникаций Республики Татарстан.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Осуществляются меры по обеспечению инвалидам, в том числе использующим кресла-коляски и собак-проводников, условий доступности здания, помещений и услуг, включая: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для беспрепятственного доступа к зданию и помещениям, а также предоставляемым в них услугам;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Министерства, входа и выхода в здание и помещения Министерства, посадки в транспортное средство и высадки из него, в том числе с использованием кресла-коляски;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здании и помещениях;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зданию, помещениям и к услугам с учетом ограничений их жизнедеятельности;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 в здание и помещения собаки-проводника при наличии </w:t>
      </w:r>
      <w:hyperlink r:id="rId18" w:tooltip="consultantplus://offline/ref=1966D3E8437E9C2F8F46AA4C81D57051BD31710F1359F4F4AA2653D081617EAC91311E233720FE56CAA158C6D9DBF51CA192908C934547252FP7H" w:history="1">
        <w:r>
          <w:rPr>
            <w:rFonts w:ascii="Times New Roman" w:hAnsi="Times New Roman" w:cs="Times New Roman"/>
            <w:sz w:val="28"/>
            <w:szCs w:val="28"/>
          </w:rPr>
          <w:t xml:space="preserve">документа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подтверждающего ее специальное обучение и выдаваемого по форме и в </w:t>
      </w:r>
      <w:hyperlink r:id="rId19" w:tooltip="consultantplus://offline/ref=1966D3E8437E9C2F8F46AA4C81D57051BD31710F1359F4F4AA2653D081617EAC91311E233720FE54C0A158C6D9DBF51CA192908C934547252FP7H" w:history="1">
        <w:r>
          <w:rPr>
            <w:rFonts w:ascii="Times New Roman" w:hAnsi="Times New Roman" w:cs="Times New Roman"/>
            <w:sz w:val="28"/>
            <w:szCs w:val="28"/>
          </w:rPr>
          <w:t xml:space="preserve">порядке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утвержденных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 xml:space="preserve">помощи инвалидам </w:t>
      </w:r>
      <w:r>
        <w:rPr>
          <w:rFonts w:ascii="Times New Roman" w:hAnsi="Times New Roman" w:cs="Times New Roman"/>
          <w:sz w:val="28"/>
          <w:szCs w:val="28"/>
        </w:rPr>
        <w:t xml:space="preserve">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в преодолении барьеров, мешающих получению ими услуг наравне с другими лицами.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</w:t>
      </w:r>
      <w:r>
        <w:rPr>
          <w:rFonts w:ascii="Times New Roman" w:hAnsi="Times New Roman" w:cs="Times New Roman"/>
          <w:sz w:val="28"/>
          <w:szCs w:val="28"/>
        </w:rPr>
        <w:t xml:space="preserve">ания в части обеспечения доступности для инвалидов объектов, в которых осуществляется предоставление государственной услуги, применяются к объектам, введенным в эксплуатацию, прошедшим капитальный ремонт, реконструкцию, модернизацию после 1 июля 2016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Показатели доступности и качества государственной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Показателями качества предоставления государственной услуги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сроков приема и рассмотрения документов;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срока получения результата государственной услуги;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нарушения Регламента, совершенные государственными служащими.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Показателями доступности предоставления государственной услуги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расположенность помещений Министерства в зоне доступности к общественному транспорту;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необходимого количества специалистов, а также помещений, в которых осуществляется прием документов от заявителей;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способах, порядке, сроках предоставления государственной услуги на информационных стендах, в сети «Интернет», на официальном сайте Министерства;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подачи заявления в электронном виде;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оказание помощи инвалидам сотрудниками Министерства в преодолении иных барьеров, не связанных с обеспечением доступности помещений для инвалидов, мешающих получению ими услуг наравне с другими лицами.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</w:t>
      </w:r>
      <w:r>
        <w:rPr>
          <w:rFonts w:ascii="Times New Roman" w:hAnsi="Times New Roman" w:cs="Times New Roman"/>
          <w:sz w:val="28"/>
          <w:szCs w:val="28"/>
        </w:rPr>
        <w:t xml:space="preserve">пность для инвалидов помещений, в которых предоставляется государственная услуга, оказание помощи инвалидам в преодолении иных барьеров, не связанных с обеспечением доступности помещений для инвалидов, мешающих получению ими услуг наравне с другими лицами;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результатов предоставления услуги в электронном виде через личный кабинет на Республиканском портале при подаче заявления и документов в форме электронных документов через Республиканский портал.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государственной услуги может быть получена заявителем в Министерстве и личном кабинете на Республиканском портале.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государственной услуги</w:t>
      </w:r>
      <w:r>
        <w:rPr>
          <w:sz w:val="28"/>
          <w:szCs w:val="28"/>
        </w:rPr>
        <w:t xml:space="preserve">, в том числе: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сведений о государственной услуге на государственных языках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необходимых и обязательных услуг не требуется.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на русском языке.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Предоставление государственной услуги, включая подачу заявки на предоставление государственной услуги, через </w:t>
      </w:r>
      <w:r>
        <w:rPr>
          <w:sz w:val="28"/>
          <w:szCs w:val="28"/>
        </w:rPr>
        <w:t xml:space="preserve">МФЦ</w:t>
      </w:r>
      <w:r>
        <w:rPr>
          <w:sz w:val="28"/>
          <w:szCs w:val="28"/>
        </w:rPr>
        <w:t xml:space="preserve">, в удаленных рабочих местах </w:t>
      </w:r>
      <w:r>
        <w:rPr>
          <w:sz w:val="28"/>
          <w:szCs w:val="28"/>
        </w:rPr>
        <w:t xml:space="preserve">МФЦ</w:t>
      </w:r>
      <w:r>
        <w:rPr>
          <w:sz w:val="28"/>
          <w:szCs w:val="28"/>
        </w:rPr>
        <w:t xml:space="preserve"> предоставления государственных и муниципальных услуг не осуществляется.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государственной услуги в электронной форме заявитель вправе: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получить информацию о порядке и сроках предоставления государственной услуги, размещенную на Республиканском портале;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подать заявление о предоставлении государственной услуги, иные документы, необходимые для предоставления государственной услуги, в том числе документы и информацию, электронные образы которых ранее были заверены в соответствии с пунктом 7</w:t>
      </w:r>
      <w:r>
        <w:rPr>
          <w:sz w:val="28"/>
          <w:szCs w:val="28"/>
          <w:vertAlign w:val="superscript"/>
        </w:rPr>
        <w:t xml:space="preserve">2</w:t>
      </w:r>
      <w:r>
        <w:rPr>
          <w:sz w:val="28"/>
          <w:szCs w:val="28"/>
        </w:rPr>
        <w:t xml:space="preserve"> части 1 статьи 16 Федерального закона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 (далее – Федеральный закон № 210-ФЗ), с использованием Республиканского портала;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получить сведения о ходе выполнения заявления о предоставлении государственной услуги, поданного в электронной форме;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осуществить оценку качества предоставления государственной услуги;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получить результат предоставления государственной услуги в форме электронного документа;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подать жалобу на решение и действие (бездействие) Министерства, а также его должностных лиц, государственных служащих посредством Республиканского портала, портала федеральной государственной информационной сист</w:t>
      </w:r>
      <w:r>
        <w:rPr>
          <w:sz w:val="28"/>
          <w:szCs w:val="28"/>
        </w:rPr>
        <w:t xml:space="preserve">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заявки</w:t>
      </w:r>
      <w:r>
        <w:rPr>
          <w:sz w:val="28"/>
          <w:szCs w:val="28"/>
        </w:rPr>
        <w:t xml:space="preserve"> осуществляется посредством заполнения электронной формы </w:t>
      </w:r>
      <w:r>
        <w:rPr>
          <w:sz w:val="28"/>
          <w:szCs w:val="28"/>
        </w:rPr>
        <w:t xml:space="preserve">заявки</w:t>
      </w:r>
      <w:r>
        <w:rPr>
          <w:sz w:val="28"/>
          <w:szCs w:val="28"/>
        </w:rPr>
        <w:t xml:space="preserve"> на Республиканском портале без необходимости дополнительной подачи ходатайства в какой-либо иной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предоставления государственной услуги размещается на государственных языках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письменному обращению специалист </w:t>
      </w:r>
      <w:r>
        <w:rPr>
          <w:sz w:val="28"/>
          <w:szCs w:val="28"/>
        </w:rPr>
        <w:t xml:space="preserve">Отдела</w:t>
      </w:r>
      <w:r>
        <w:rPr>
          <w:sz w:val="28"/>
          <w:szCs w:val="28"/>
        </w:rPr>
        <w:t xml:space="preserve">, подробно в письменной форме разъясняет заявителю порядок предос</w:t>
      </w:r>
      <w:r>
        <w:rPr>
          <w:sz w:val="28"/>
          <w:szCs w:val="28"/>
        </w:rPr>
        <w:t xml:space="preserve">тавления государственной услуги и в течение срока, установленного законодательством, направляет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2.11. Исчерпывающий перечень документов, необходимых для предоставления государственной услуги.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2.11.1. Исчерпывающий </w:t>
      </w:r>
      <w:hyperlink r:id="rId20" w:tooltip="https://login.consultant.ru/link/?req=doc&amp;base=RLAW363&amp;n=196527&amp;dst=100184&amp;field=134&amp;date=01.06.2026" w:history="1">
        <w:r>
          <w:rPr>
            <w:rStyle w:val="94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представляет самостоятельно, и документы, которые заявите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3 к настоящему Регламенту.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2.12. Исчерпывающий перечень оснований для отказа в приеме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енной услуги или для отказа в предоставлении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2.12.1. Исчерпывающий </w:t>
      </w:r>
      <w:hyperlink w:tooltip="ИСЧЕРПЫВАЮЩИЙ ПЕРЕЧЕНЬ" w:anchor="P392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оснований для отказа в приеме докумен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 приведен в приложении 4 к настоящему Регламенту.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2.12.2. Основанием для отказа в приеме заявления о предоставлении государственной услуги и документов, необходимых для предоставления государственной услуги является: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подача неполного комплекта документов, </w:t>
      </w:r>
      <w:r>
        <w:rPr>
          <w:sz w:val="28"/>
          <w:szCs w:val="28"/>
        </w:rPr>
        <w:t xml:space="preserve">которые в соответствии с </w:t>
      </w:r>
      <w:r>
        <w:rPr>
          <w:sz w:val="28"/>
          <w:szCs w:val="28"/>
        </w:rPr>
        <w:t xml:space="preserve">приложением 3 к настоящему Регламенту должны предоставляться заявителем самостоятельно;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документов в ненадлежащий орган;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документов, содержащих недостоверные и (или) противоречивые сведения, неоговоренные исправления;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2.12.3.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Оснований для приостановления предоставления государственной услуги законодательством не предусмотрено.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left="0" w:firstLine="709"/>
        <w:jc w:val="both"/>
        <w:spacing w:after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2.12.4. Основания для отказа в предоставлении государственной услуги</w:t>
      </w:r>
      <w:r>
        <w:rPr>
          <w:sz w:val="28"/>
          <w:szCs w:val="28"/>
          <w:lang w:val="ru-RU"/>
        </w:rPr>
        <w:t xml:space="preserve">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представленного инвестиционного проекта основным задачам, определенным в Инвестиционном меморандуме Республики Татарстан;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нецелесообразность предусмотренных бизнес-планом мероприятий, незначительная эффективность для экономики Республики Татарстан;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технико-экономических расчетов действующим методическим документам.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numPr>
          <w:ilvl w:val="0"/>
          <w:numId w:val="0"/>
        </w:numPr>
        <w:ind w:left="0" w:right="0" w:firstLine="680"/>
        <w:jc w:val="both"/>
        <w:spacing w:before="0" w:after="0"/>
        <w:widowControl/>
        <w:rPr>
          <w:highlight w:val="white"/>
          <w:shd w:val="clear" w:color="auto" w:fill="auto"/>
        </w:rPr>
        <w:outlineLvl w:val="0"/>
      </w:pPr>
      <w:r>
        <w:rPr>
          <w:sz w:val="28"/>
          <w:szCs w:val="28"/>
          <w:highlight w:val="white"/>
          <w:shd w:val="clear" w:color="auto" w:fill="auto"/>
        </w:rPr>
        <w:t xml:space="preserve">В случае отказа в предоставлении государственной услуги Министерство информирует заявителя о причинах такого отказа с указанием перечня документов и информации, отсутств</w:t>
      </w:r>
      <w:r>
        <w:rPr>
          <w:sz w:val="28"/>
          <w:szCs w:val="28"/>
          <w:highlight w:val="white"/>
          <w:shd w:val="clear" w:color="auto" w:fill="auto"/>
        </w:rPr>
        <w:t xml:space="preserve">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  <w:r>
        <w:rPr>
          <w:highlight w:val="white"/>
          <w:shd w:val="clear" w:color="auto" w:fill="auto"/>
        </w:rPr>
      </w:r>
      <w:r>
        <w:rPr>
          <w:highlight w:val="white"/>
          <w:shd w:val="clear" w:color="auto" w:fill="auto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 Состав, последовательность и сроки выполнения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административных процедур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3.1.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услуги), административной процедуры, предполагающей осуществляемое после принятия решени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административной процедуры получения дополнительных сведений от заявителя, административной процедуры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риостановления предоставления государственной услуги, повторение которой в рамках предоставления одной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государственной услуги допускается два и более раза, не предусмотрено.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3.2. </w:t>
      </w:r>
      <w:r>
        <w:rPr>
          <w:sz w:val="28"/>
          <w:szCs w:val="28"/>
        </w:rPr>
        <w:t xml:space="preserve">Предоставление государственной услуги включает в себя следующие процедуры: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консульти</w:t>
      </w:r>
      <w:r>
        <w:rPr>
          <w:sz w:val="28"/>
          <w:szCs w:val="28"/>
        </w:rPr>
        <w:t xml:space="preserve">рование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принятие и регистрация заявки, полученной из Республиканского портала, при письменном обращении в Министерство;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формирование и направление межведомственных запросов в орган, участвующий в предоставлении государственной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проверка полноты и достоверности указанных в заявке и прилагаемых к нему документах сведений;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подготовка и утверждение заключения на бизнес-план инвестиционного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подготовка проекта распоряжения Кабинета Министров Республики Татарстан о заключении договора или уведомления об отказе в заключении договора с указанием причин отказа;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согласование проекта распоряжения КМ РТ с Министерством финансов Республики Татарстан;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направление проекта распоряжения КМ РТ в Кабинет Министров Республики Татарстан;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заключение договора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выдача заявителю результата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 Государственная услуга в упреждающем (проактивном) режиме не предоставляется.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61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4. Способы информирования заявителя об изменении статуса</w:t>
        <w:br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рассмотрения запроса о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Информирование заявителя (представителя заявителя) об изменении статуса рассмотрения запроса о предоставлении государственной услуги осуществляется: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- посредством Республиканского портала в случае подачи запроса и документов для предоставления государственной услуги через Республиканский портал;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- посредством Единого портала (при наличии технической возможности).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 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  <w:sectPr>
          <w:headerReference w:type="even" r:id="rId9"/>
          <w:footnotePr/>
          <w:endnotePr/>
          <w:type w:val="nextPage"/>
          <w:pgSz w:w="11906" w:h="16838" w:orient="portrait"/>
          <w:pgMar w:top="1134" w:right="851" w:bottom="1134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84"/>
        <w:jc w:val="center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84"/>
        <w:jc w:val="center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84"/>
        <w:jc w:val="center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УСЛОВНЫХ ОБОЗНАЧЕНИЙ И СОКРАЩЕНИЙ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Портал государственных и муниципальных услуг Республики Татарстан (</w:t>
      </w:r>
      <w:hyperlink r:id="rId21" w:tooltip="https://uslugi.tatarstan.ru/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https://uslugi.tatarstan.ru/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- Республиканский портал;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Единый портале государственных и муниципальных услуг (функций) (</w:t>
      </w:r>
      <w:hyperlink r:id="rId22" w:tooltip="&lt;div class=&quot;doc www&quot;&gt;&lt;span class=&quot;aligner&quot;&gt;&lt;div class=&quot;icon listDocWWW-16&quot;&gt;&lt;/div&gt;&lt;/span&gt;https://www.gosuslugi.ru/&lt;/div&gt;" w:history="1">
        <w:r>
          <w:rPr>
            <w:rStyle w:val="94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https://www.gosuslugi.ru/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- Единый портал;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70"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Министерство экономики Республики Татарстан - Министерство;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Государственное бюджетное учреждение «Многофункциональный центр предоставления государственных и муниципальных услуг Республики Татарстан» - МФЦ;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70"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Кабинет Министров Республики Татарстан  – КМ РТ.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2"/>
        <w:ind w:left="6237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ИДЕНТИФИКАТОРЫ КАТЕГОРИЙ (ПРИЗНАКОВ) ЗАЯВИТЕЛЕЙ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60"/>
        <w:gridCol w:w="4110"/>
        <w:gridCol w:w="2835"/>
      </w:tblGrid>
      <w:tr>
        <w:tblPrEx/>
        <w:trPr/>
        <w:tc>
          <w:tcPr>
            <w:tcW w:w="3260" w:type="dxa"/>
            <w:textDirection w:val="lrTb"/>
            <w:noWrap w:val="false"/>
          </w:tcPr>
          <w:p>
            <w:pPr>
              <w:pStyle w:val="970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Результат предоставления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970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отдельного признака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70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Идентификатор отдельного признака заявителей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260" w:type="dxa"/>
            <w:vMerge w:val="restart"/>
            <w:textDirection w:val="lrTb"/>
            <w:noWrap w:val="false"/>
          </w:tcPr>
          <w:p>
            <w:pPr>
              <w:pStyle w:val="970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Договор о реализации инвестиционного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line="57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юридическое лицо, реализующее инвестиционный проект на территории Республики Татарстан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970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9"/>
        </w:trPr>
        <w:tc>
          <w:tcPr>
            <w:tcW w:w="326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заявителя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970"/>
              <w:ind w:left="0" w:right="0" w:firstLine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pStyle w:val="962"/>
        <w:ind w:left="6237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2"/>
        <w:ind w:left="6237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hd w:val="nil" w:color="00000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hd w:val="nil" w:color="00000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ДОКУМЕНТОВ,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НЕОБХОДИМЫХ ДЛЯ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95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450"/>
        <w:gridCol w:w="2536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Идентификатор признака заявителя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textDirection w:val="lrTb"/>
            <w:noWrap w:val="false"/>
          </w:tcPr>
          <w:p>
            <w:pPr>
              <w:pStyle w:val="9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Расшифровка видов документов предоставляемых заявителем, кол-во документов из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 предоставления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10396" w:type="dxa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Документы, которые заявитель представляет самостоятельно,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предоставления государственной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Заявка на получение государственной поддержки инвестиционного проекта</w:t>
            </w:r>
            <w:r>
              <w:rPr>
                <w:sz w:val="24"/>
                <w:szCs w:val="24"/>
                <w:highlight w:val="none"/>
              </w:rPr>
              <w:t xml:space="preserve"> (приложение 5 к настоящему Регламенту)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Бизнес-план инвестиционного проекта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по форме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согласно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приложени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ю 3 к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Положению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Положительное з</w:t>
            </w:r>
            <w:r>
              <w:rPr>
                <w:sz w:val="24"/>
                <w:szCs w:val="24"/>
                <w:highlight w:val="white"/>
              </w:rPr>
              <w:t xml:space="preserve">аключение органа исполнительной власти отраслевой компетенции (далее - отраслевое министерство) по инвестиционному проекту на предмет его соответствия целевым ориентирам развития отрасли, изложенным в соответствующих целевых программах.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Положительное з</w:t>
            </w:r>
            <w:r>
              <w:rPr>
                <w:sz w:val="24"/>
                <w:szCs w:val="24"/>
                <w:highlight w:val="white"/>
              </w:rPr>
              <w:t xml:space="preserve">аключение государственной экологической экспертизы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П</w:t>
            </w:r>
            <w:r>
              <w:rPr>
                <w:sz w:val="24"/>
                <w:szCs w:val="24"/>
                <w:highlight w:val="white"/>
              </w:rPr>
              <w:t xml:space="preserve">оложительно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 заключени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 государственной экспертизы проектной документации и результатов инженерных изысканий (для инвестиционных проектов, предусматривающих капитальное строительство);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54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Бухгалтерские балансы и отчеты о финансовых результатах за последние два финансовых года и на последнюю отчетную дату с отметкой налогового органа об их принятии;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Аудиторское заключение бухгалтерской отчетности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организации </w:t>
            </w:r>
            <w:r>
              <w:rPr>
                <w:sz w:val="24"/>
                <w:szCs w:val="24"/>
                <w:highlight w:val="white"/>
              </w:rPr>
              <w:t xml:space="preserve">за предыдущий и текущий годы.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2АБ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Справка об отсутствии просроченной задолженности по ранее предоставленным из бюджетов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бюджетной системы Российской Федерации средствам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выданным на возвратной основе (представляется в произвольной форме за подписью главного бухгалтера и руководителя организации, реализующего инвестиционный проект).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Справка о наличии собственных средств в период с начала года и до срока подачи заявки на предоставление государственной поддержки (подтверждается данными бухгалтерских балансов за истекшие кварталы текущего года).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 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Справка об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отсутствии неурегулированных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обязательств по ранее предоставленным государственным и муниципальным гарантиям (представляется в произвольной форме за подписью главного бухгалтера и руководителя организации, реализующего инвестиционный проект).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Справка об отсутствии задолженности по выплате заработной платы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работникам и наличие средней заработной платы работников не ниже уровня среднеотраслевой заработной платы по Республике Татарстан и минимальной заработной платы работников не ниже установленного минимального потребительского бюджета в Республике Татарстан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(представляется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произвольной форме за подписью главного бухгалтера и руководителя организации, реализующего инвестиционный проект).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Расчет по видам и сумме выпадающих налогов, а также по годам реализации проекта с распределением по кварталам, подписанный руководителем организации и главным бухгалтером.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Договор, подписанный руководителем организации 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риложение 7 к настоящему Регламенту).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Перечень имущества, вновь создаваемого (приобретаемого) для реализации инвестиционного проекта, подписанный руководителем и главным бухгалтером организации.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Расчет дополнительных налоговых поступлений в консолидированный бюджет Республики Татарстан от реализации проекта, подписанный руководителем и главным бухгалтером организации.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Cs/>
                <w:sz w:val="24"/>
                <w:szCs w:val="24"/>
                <w:highlight w:val="white"/>
              </w:rPr>
              <w:t xml:space="preserve">Справка о всех формах государственной поддержки, </w:t>
            </w:r>
            <w:r>
              <w:rPr>
                <w:bCs/>
                <w:sz w:val="24"/>
                <w:szCs w:val="24"/>
                <w:highlight w:val="white"/>
              </w:rPr>
              <w:t xml:space="preserve">предоставленных </w:t>
            </w:r>
            <w:r>
              <w:rPr>
                <w:bCs/>
                <w:sz w:val="24"/>
                <w:szCs w:val="24"/>
                <w:highlight w:val="white"/>
              </w:rPr>
              <w:t xml:space="preserve">организации</w:t>
            </w:r>
            <w:r>
              <w:rPr>
                <w:bCs/>
                <w:sz w:val="24"/>
                <w:szCs w:val="24"/>
                <w:highlight w:val="white"/>
              </w:rPr>
              <w:t xml:space="preserve"> на дату подачи заявки</w:t>
            </w:r>
            <w:r>
              <w:rPr>
                <w:bCs/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  <w:highlight w:val="white"/>
              </w:rPr>
              <w:t xml:space="preserve">чредительные документы организации.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/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Документы, подтверждающие наличие обеспечения исполнения получателем гарантии обязательств по удовлетворению регрессного требования к нему в связи с исполнением гарантии.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gridSpan w:val="4"/>
            <w:tcW w:w="103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Документы, которые заявитель вправе представить самостоятельно, для предоставления государственной услуги, так как они подлежат представлению в рамках межведомственного информационного взаимодействия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pStyle w:val="964"/>
              <w:ind w:left="0" w:right="0" w:firstLine="0"/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писка из Единого государственного реестра юридических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лиц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Управления Федеральной налоговой службы по Республике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об отсутствии просроченной задолженности по обязательным платежам бюджетов всех уровней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Управления Федеральной налоговой службы по Республике Татарстан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почта, в том числе электронная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свидетельство о государственной регистрации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Управления Федеральной налоговой службы по Республике Татарстан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свидетельство о постановке на налоговый учет </w:t>
            </w:r>
            <w:r>
              <w:rPr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Управления Федеральной налоговой службы по Республике Татарстан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3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Министерство, Республиканский портал,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в том числе электронная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ИСЧЕРПЫВАЮЩИЙ ПЕРЕЧЕНЬ</w:t>
        <w:br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ОСНОВАНИЙ ДЛЯ ОТКАЗА В ПРИЕМЕ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ДОКУМЕНТОВ, НЕОБХОДИМЫХ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ДЛЯ ПРЕДОСТАВЛЕНИЯ ГОСУДАРСТВЕННОЙ УСЛУГИ, И ИСЧЕРПЫВАЮЩИЙ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ПЕРЕЧЕНЬ ОСНОВАНИЙ ДЛЯ ПРИОСТАНОВЛЕНИЯ ПРЕДОСТАВЛЕНИЯ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ГОСУДАРСТВЕННОЙ УСЛУГИ ИЛИ ДЛЯ ОТКАЗА В ПРЕДОСТАВЛЕНИИ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ГОСУДАРСТВЕННОЙ УСЛУГИ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950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5752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Идентификатор признака заявителя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75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Перечень оснований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146" w:type="dxa"/>
            <w:textDirection w:val="lrTb"/>
            <w:noWrap w:val="false"/>
          </w:tcPr>
          <w:p>
            <w:pPr>
              <w:pStyle w:val="970"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Основания для отказа в приеме документов, необходимых для предоставления государственной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tbl>
      <w:tblPr>
        <w:tblStyle w:val="950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5752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r/>
            <w:r/>
          </w:p>
        </w:tc>
        <w:tc>
          <w:tcPr>
            <w:tcW w:w="5752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подача неполного комплекта документов,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которые в соответствии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приложением 3 к настоящему Регламенту должны предоставляться заявителем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r/>
            <w:r/>
          </w:p>
        </w:tc>
        <w:tc>
          <w:tcPr>
            <w:tcW w:w="5752" w:type="dxa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редставление документов в ненадлежащий орган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r/>
            <w:r/>
          </w:p>
        </w:tc>
        <w:tc>
          <w:tcPr>
            <w:tcW w:w="57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представление документов, содержащих недостоверные и (или) противоречивые сведения, неоговоренные исправления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19"/>
        </w:trPr>
        <w:tc>
          <w:tcPr>
            <w:gridSpan w:val="3"/>
            <w:tcW w:w="10146" w:type="dxa"/>
            <w:vMerge w:val="restart"/>
            <w:textDirection w:val="lrTb"/>
            <w:noWrap w:val="false"/>
          </w:tcPr>
          <w:p>
            <w:pPr>
              <w:pStyle w:val="96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sz w:val="24"/>
              </w:rPr>
              <w:t xml:space="preserve">Основания для приостановления предоставления государственной услуги отсутствуют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17"/>
        </w:trPr>
        <w:tc>
          <w:tcPr>
            <w:gridSpan w:val="3"/>
            <w:tcW w:w="1014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Основания для отказа в предоставлении государственной услуги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r/>
            <w:r/>
          </w:p>
        </w:tc>
        <w:tc>
          <w:tcPr>
            <w:tcW w:w="57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несоответствие представленного инвестиционного проекта основным задачам, определенным в Инвестиционном меморандуме Республики Татарстан;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r/>
            <w:r/>
          </w:p>
        </w:tc>
        <w:tc>
          <w:tcPr>
            <w:tcW w:w="57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нецелесообразность предусмотренных бизнес-планом мероприятий, незначительная эффективность для экономики Республики Татарстан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pStyle w:val="96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1А, 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57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несоответствие технико-экономических расчетов действующим методическим документам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pStyle w:val="962"/>
        <w:ind w:left="6237"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62"/>
        <w:ind w:left="6237"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62"/>
        <w:ind w:left="6237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2"/>
        <w:ind w:left="6237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получение государственной поддержки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инвестиционного проекта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(наименование инвестиционного проекта)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(наименование организации)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г. 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(название города, в котором расположена организация)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Наименование организации_____________________________________________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_________________ тел., факс 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 по ОКПО ________________________ код по ОКОНХ 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идентификационный номер (ИНН) 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расчетный счет №______________ в ____________________ 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банковский идентификационный код (БИК) 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Наименование инвестиционного проекта: 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Краткое содержание проекта и основные характеристики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продукции 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Головной исполнитель проекта: 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Соисполнители по Республике Татарстан 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Представляемые документы: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 Бизнес-план   инвестиционного   проекта,  подписанный  руководителем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и заверенный печатью (да, нет)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 Документы  (соответствующие сертификаты; патенты; договоры (протоколы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намерений) на приобретение сырья, материалов, комплектующих, оборудования 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поставку   продукции   проекта;   лицензии  на  разработку  и  производство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продукции,   письма   из   природоохранных  организации  и  санэпиднадзора)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Наличие  аналогов  (по  техническому  исполнению,  назначению), указать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преимущества   предлагаемой   продукции   по   сравнению   с   аналогами  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обеспечивающие успех проекта 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Характеристики проекта: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Стоимость проекта в ценах на дату составления:___________________________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Начало реализации проекта (год, квартал) 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Начало серийного производства (год, квартал) 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  Срок  окупаемости  проекта  по  чистой  прибыли  с  амортизационными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отчислениями, лет (месяцев) 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7.4.1.  Срок  окупаемости  проекта  с учетом дисконтирования, лет (месяцев)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Внутренняя норма рентабельности проекта 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7.6. Чистый дисконтированный доход, млн руб. 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7.7.   Краткое   описание   состояния   проекта   на   дату  подачи  заявки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Инвестиционные затраты, тыс. рублей/валюта (если она необходима)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75" w:type="dxa"/>
          <w:right w:w="40" w:type="dxa"/>
          <w:bottom w:w="75" w:type="dxa"/>
        </w:tblCellMar>
        <w:tblLook w:val="0000" w:firstRow="0" w:lastRow="0" w:firstColumn="0" w:lastColumn="0" w:noHBand="0" w:noVBand="0"/>
      </w:tblPr>
      <w:tblGrid>
        <w:gridCol w:w="3689"/>
        <w:gridCol w:w="1931"/>
        <w:gridCol w:w="687"/>
        <w:gridCol w:w="833"/>
        <w:gridCol w:w="833"/>
        <w:gridCol w:w="833"/>
        <w:gridCol w:w="833"/>
      </w:tblGrid>
      <w:tr>
        <w:tblPrEx/>
        <w:trPr>
          <w:trHeight w:val="6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Годы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Ранее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реализованные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8.1. Предынвестиционные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Подготовка производства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8.3.    Основные    средства: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оборудование,     технологии,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здания, сооружения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8.4. Нематериальные активы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8.5.    Прирост     оборотных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68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сумма инвестиций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3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8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Планируемые источники финансирования (тыс. рублей)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75" w:type="dxa"/>
          <w:right w:w="40" w:type="dxa"/>
          <w:bottom w:w="75" w:type="dxa"/>
        </w:tblCellMar>
        <w:tblLook w:val="0000" w:firstRow="0" w:lastRow="0" w:firstColumn="0" w:lastColumn="0" w:noHBand="0" w:noVBand="0"/>
      </w:tblPr>
      <w:tblGrid>
        <w:gridCol w:w="3570"/>
        <w:gridCol w:w="1904"/>
        <w:gridCol w:w="833"/>
        <w:gridCol w:w="833"/>
        <w:gridCol w:w="833"/>
        <w:gridCol w:w="833"/>
        <w:gridCol w:w="833"/>
      </w:tblGrid>
      <w:tr>
        <w:tblPrEx/>
        <w:trPr>
          <w:trHeight w:val="6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Годы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</w:rPr>
              <w:t xml:space="preserve"> Ранее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реализованные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средства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9.1.  Собственные  средства,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направляемые на финансирование  инвестиционного проекта,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всего,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72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9.1.1. Прибыль (фонд накопления) на  начало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проекта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9.1.2.  Амортизационные отчисления, накопленные на начало реализации инвестиционного проекта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9.1.3. Средства, внесенные в уставный капитал организации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9.2.  Заемные средства  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всего, в том числе: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9.2.1. Кредиты коммерческих банков (по каждому кредиту в отдельности)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9.2.2. Иностранные кредиты и займы (по каждому в отдельности)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9.2.3. Другие заемные средства (расшифровать)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9.3.  Средства государственной поддержки за счет: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республиканского бюджета Республики Татарстан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федерального   бюджета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Справочно:             сумма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государственной поддержки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57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90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10. Характеристика продукции (тыс. рублей)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75" w:type="dxa"/>
          <w:right w:w="40" w:type="dxa"/>
          <w:bottom w:w="75" w:type="dxa"/>
        </w:tblCellMar>
        <w:tblLook w:val="0000" w:firstRow="0" w:lastRow="0" w:firstColumn="0" w:lastColumn="0" w:noHBand="0" w:noVBand="0"/>
      </w:tblPr>
      <w:tblGrid>
        <w:gridCol w:w="4879"/>
        <w:gridCol w:w="952"/>
        <w:gridCol w:w="952"/>
        <w:gridCol w:w="952"/>
        <w:gridCol w:w="952"/>
        <w:gridCol w:w="833"/>
      </w:tblGrid>
      <w:tr>
        <w:tblPrEx/>
        <w:trPr>
          <w:trHeight w:val="8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Годы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10.1. Цена единицы продукции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10.2.  Объем  поставок  в   натуральных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единицах, в том числе: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Республике Татарстан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Российской Федерации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экспорт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10.3. Объем реализации, в том числе: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Республике Татарстан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Российской Федерации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экспорт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10.4. Налоговые платежи в: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федеральный    бюджет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бюджет Республики Татарстан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местный бюджет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87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10.5. Чистая  прибыль  по инвестиционному проекту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33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Количество рабочих мест для реализации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75" w:type="dxa"/>
          <w:right w:w="40" w:type="dxa"/>
          <w:bottom w:w="75" w:type="dxa"/>
        </w:tblCellMar>
        <w:tblLook w:val="0000" w:firstRow="0" w:lastRow="0" w:firstColumn="0" w:lastColumn="0" w:noHBand="0" w:noVBand="0"/>
      </w:tblPr>
      <w:tblGrid>
        <w:gridCol w:w="5236"/>
        <w:gridCol w:w="1071"/>
        <w:gridCol w:w="1071"/>
        <w:gridCol w:w="1071"/>
        <w:gridCol w:w="952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5236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Годы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20__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20__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5236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11.1. Количество рабочих мест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5236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сохраняемое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5236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вновь создаваемое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07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5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Ожидаемые эффекты: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12.1. Научно-технический 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12.2. Экономический 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12.3. Социальный 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12.4. Экологический 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12.5. Бюджетный 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387"/>
        <w:jc w:val="left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</w:r>
      <w:r>
        <w:rPr>
          <w:rFonts w:ascii="Times New Roman" w:hAnsi="Times New Roman"/>
          <w:b w:val="0"/>
          <w:bCs/>
          <w:sz w:val="28"/>
          <w:szCs w:val="28"/>
        </w:rPr>
      </w:r>
      <w:r>
        <w:rPr>
          <w:rFonts w:ascii="Times New Roman" w:hAnsi="Times New Roman"/>
          <w:b w:val="0"/>
          <w:bCs/>
          <w:sz w:val="28"/>
          <w:szCs w:val="28"/>
        </w:rPr>
      </w:r>
    </w:p>
    <w:p>
      <w:pPr>
        <w:pStyle w:val="928"/>
        <w:ind w:left="5387"/>
        <w:jc w:val="left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</w:r>
      <w:r>
        <w:rPr>
          <w:rFonts w:ascii="Times New Roman" w:hAnsi="Times New Roman"/>
          <w:b w:val="0"/>
          <w:bCs/>
          <w:sz w:val="28"/>
          <w:szCs w:val="28"/>
        </w:rPr>
      </w:r>
      <w:r>
        <w:rPr>
          <w:rFonts w:ascii="Times New Roman" w:hAnsi="Times New Roman"/>
          <w:b w:val="0"/>
          <w:bCs/>
          <w:sz w:val="28"/>
          <w:szCs w:val="28"/>
        </w:rPr>
      </w:r>
    </w:p>
    <w:p>
      <w:pPr>
        <w:rPr>
          <w:sz w:val="28"/>
          <w:szCs w:val="28"/>
          <w:lang w:eastAsia="zh-CN"/>
        </w:rPr>
        <w:sectPr>
          <w:footnotePr/>
          <w:endnotePr/>
          <w:type w:val="nextPage"/>
          <w:pgSz w:w="11906" w:h="16838" w:orient="portrait"/>
          <w:pgMar w:top="1134" w:right="626" w:bottom="1134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</w:p>
    <w:p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6237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Премьер-министра Республики Татарстан 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министр экономики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«____» _______________20___г.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Заключение № ________по инвестиционному проекту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Сведения об инициаторах проекта: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организации:____________________</w:t>
      </w:r>
      <w:r>
        <w:rPr>
          <w:sz w:val="28"/>
          <w:szCs w:val="28"/>
          <w:lang w:val="en-US"/>
        </w:rPr>
        <w:t xml:space="preserve">_</w:t>
      </w:r>
      <w:r>
        <w:rPr>
          <w:sz w:val="28"/>
          <w:szCs w:val="28"/>
        </w:rPr>
        <w:t xml:space="preserve">__</w:t>
      </w:r>
      <w:r>
        <w:rPr>
          <w:sz w:val="28"/>
          <w:szCs w:val="28"/>
          <w:lang w:val="en-US"/>
        </w:rPr>
        <w:t xml:space="preserve">_</w:t>
      </w: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проекта: ______________________</w:t>
      </w:r>
      <w:r>
        <w:rPr>
          <w:sz w:val="28"/>
          <w:szCs w:val="28"/>
          <w:lang w:val="en-US"/>
        </w:rPr>
        <w:t xml:space="preserve">__</w:t>
      </w:r>
      <w:r>
        <w:rPr>
          <w:sz w:val="28"/>
          <w:szCs w:val="28"/>
        </w:rPr>
        <w:t xml:space="preserve">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0"/>
        </w:numPr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Основные акционеры (участие в акционерном капитале в %):</w:t>
      </w:r>
      <w:r>
        <w:rPr>
          <w:sz w:val="28"/>
          <w:szCs w:val="28"/>
        </w:rPr>
        <w:t xml:space="preserve">  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Уставный капитал ______________________________</w:t>
      </w:r>
      <w:r>
        <w:rPr>
          <w:sz w:val="28"/>
          <w:szCs w:val="28"/>
          <w:lang w:val="en-US"/>
        </w:rPr>
        <w:t xml:space="preserve">___</w:t>
      </w: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государства _______________________________</w:t>
      </w:r>
      <w:r>
        <w:rPr>
          <w:sz w:val="28"/>
          <w:szCs w:val="28"/>
          <w:lang w:val="en-US"/>
        </w:rPr>
        <w:t xml:space="preserve">___</w:t>
      </w: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(адрес, телефон, факс): 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1.5. Фамилия, имя, отчество руководителя (последнее – при наличии): 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Финансовое состояние инициатора проекта: 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экспертизу представлены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бизнес-план: 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бухгалтерской отчетности организации: 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подтверждающие документы (сертификаты качества, патенты, договоры на приобретение, производство, поставки, аренды и пр.):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документы:</w:t>
      </w:r>
      <w:r>
        <w:rPr>
          <w:iCs/>
          <w:sz w:val="28"/>
          <w:szCs w:val="28"/>
        </w:rPr>
        <w:t xml:space="preserve"> 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Сведения об организации:______________________________________________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3.1.Сфера деятельности и отраслевая принадлежность:__________________________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spacing w:after="0" w:line="240" w:lineRule="auto"/>
        <w:rPr>
          <w:iCs/>
          <w:sz w:val="28"/>
          <w:szCs w:val="28"/>
        </w:rPr>
      </w:pPr>
      <w:r>
        <w:rPr>
          <w:sz w:val="28"/>
          <w:szCs w:val="28"/>
        </w:rPr>
        <w:t xml:space="preserve">3.2. Основные потребители:</w:t>
      </w:r>
      <w:r>
        <w:rPr>
          <w:iCs/>
          <w:sz w:val="28"/>
          <w:szCs w:val="28"/>
        </w:rPr>
        <w:t xml:space="preserve"> 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Объем реализации: 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3.4.Среднесписочная численность: 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Характеристики проекта:______________________________________________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4.1. Цель проекта:</w:t>
      </w:r>
      <w:r>
        <w:rPr>
          <w:iCs/>
          <w:sz w:val="28"/>
          <w:szCs w:val="28"/>
        </w:rPr>
        <w:t xml:space="preserve"> 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4.2. Соответствие инвестицио</w:t>
      </w:r>
      <w:r>
        <w:rPr>
          <w:iCs/>
          <w:sz w:val="28"/>
          <w:szCs w:val="28"/>
        </w:rPr>
        <w:t xml:space="preserve">нного проекта республиканским и федеральным программам и приоритетным направлениям развития экономики Республики Татарстан, определенным Программой социально-экономического развития Республики Татарстан:____________________________________________________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4.3. Наименование планируемого к выпуску продукта (работ, услуг) и его особенности: 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Общая стоимость проекта: __________, в том числе: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собственные средства 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заемные средства 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8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средства государственной поддержки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4.5. Направление средств:   _______________________  тыс.руб.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3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1559"/>
        <w:gridCol w:w="1418"/>
        <w:gridCol w:w="1417"/>
        <w:gridCol w:w="1560"/>
      </w:tblGrid>
      <w:tr>
        <w:tblPrEx/>
        <w:trPr>
          <w:cantSplit/>
        </w:trPr>
        <w:tc>
          <w:tcPr>
            <w:tcW w:w="418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издержек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418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418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418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Направление средств государственной поддержки: 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Форма государственной поддержки: предусматривается получение льгот по налогу на прибыль в размере 4,5% в части, зачисляемой в бюджет Республики Татарстан, и налогу на имущество в размере 2,1 %.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налоговых льг</w:t>
      </w:r>
      <w:r>
        <w:rPr>
          <w:sz w:val="28"/>
          <w:szCs w:val="28"/>
        </w:rPr>
        <w:t xml:space="preserve">от: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год ______________________________________________________</w:t>
      </w:r>
      <w:r>
        <w:rPr>
          <w:iCs/>
          <w:sz w:val="28"/>
          <w:szCs w:val="28"/>
        </w:rPr>
        <w:t xml:space="preserve">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II</w:t>
      </w:r>
      <w:r>
        <w:rPr>
          <w:iCs/>
          <w:sz w:val="28"/>
          <w:szCs w:val="28"/>
        </w:rPr>
        <w:t xml:space="preserve"> год ___________________________________________________________________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III</w:t>
      </w:r>
      <w:r>
        <w:rPr>
          <w:iCs/>
          <w:sz w:val="28"/>
          <w:szCs w:val="28"/>
        </w:rPr>
        <w:t xml:space="preserve"> год 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IV</w:t>
      </w:r>
      <w:r>
        <w:rPr>
          <w:iCs/>
          <w:sz w:val="28"/>
          <w:szCs w:val="28"/>
        </w:rPr>
        <w:t xml:space="preserve"> год__________________________________________________________________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Налоговые поступления в консолидированный бюджет Республики Татарстан от реализации инвестиционного проекта: 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</w:t>
      </w:r>
      <w:r>
        <w:rPr>
          <w:iCs/>
          <w:sz w:val="28"/>
          <w:szCs w:val="28"/>
        </w:rPr>
        <w:t xml:space="preserve"> год ___________________________________________________________________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II</w:t>
      </w:r>
      <w:r>
        <w:rPr>
          <w:iCs/>
          <w:sz w:val="28"/>
          <w:szCs w:val="28"/>
        </w:rPr>
        <w:t xml:space="preserve"> год ___________________________________________________________________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III</w:t>
      </w:r>
      <w:r>
        <w:rPr>
          <w:iCs/>
          <w:sz w:val="28"/>
          <w:szCs w:val="28"/>
        </w:rPr>
        <w:t xml:space="preserve"> год 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 xml:space="preserve">IV</w:t>
      </w:r>
      <w:r>
        <w:rPr>
          <w:iCs/>
          <w:sz w:val="28"/>
          <w:szCs w:val="28"/>
        </w:rPr>
        <w:t xml:space="preserve"> год__________________________________________________________________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4.9. Экономические показатели проекта: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ind w:hanging="357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срок окупаемости проекта 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ind w:hanging="357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чистый дисконтированный доход 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- бюджетный эффект  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357"/>
        <w:rPr>
          <w:sz w:val="28"/>
          <w:szCs w:val="28"/>
        </w:rPr>
      </w:pPr>
      <w:r>
        <w:rPr>
          <w:sz w:val="28"/>
          <w:szCs w:val="28"/>
        </w:rPr>
        <w:t xml:space="preserve">          - внутренняя норма рентабельности 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- рентабельность продаж 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Обеспечение проекта: 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4.10.1. Сырьем и материалами: 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4.10.2. Производственными площадями, оборудованием: 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4.11. Наличие договоров на приобретение оборудования: 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4.12. Анализ конкурентов и рынка сбыта: 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Наличие договоров на сбыт продукции: 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Дополнительные рабочие места: 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5. Вывод: 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экономики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инвестиционной политики 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экономического анализа проектов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Ведущий советник отдела </w:t>
      </w:r>
      <w:r>
        <w:rPr>
          <w:sz w:val="28"/>
          <w:szCs w:val="28"/>
        </w:rPr>
        <w:t xml:space="preserve">инвестиционной политики 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экономического анализа проектов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626" w:bottom="1134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tabs>
          <w:tab w:val="left" w:pos="6237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                                               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заключению договора о реализации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70"/>
        <w:jc w:val="right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инвестиционного проекта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Форма утверждена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Кабинета Министров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tabs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24.07.2006 № 377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№______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РЕАЛИЗАЦИИ ИНВЕСТИЦИОННОГО ПРОЕКТА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708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г.Казань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«___» ____________20___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ind w:firstLine="709"/>
        <w:rPr>
          <w:spacing w:val="-2"/>
          <w:sz w:val="28"/>
          <w:szCs w:val="28"/>
        </w:rPr>
        <w:outlineLvl w:val="0"/>
      </w:pPr>
      <w:r>
        <w:rPr>
          <w:spacing w:val="-2"/>
          <w:sz w:val="28"/>
          <w:szCs w:val="28"/>
        </w:rPr>
        <w:t xml:space="preserve">Министерство экономики Республики Татарстан, </w:t>
      </w:r>
      <w:r>
        <w:rPr>
          <w:spacing w:val="-2"/>
          <w:sz w:val="28"/>
          <w:szCs w:val="28"/>
        </w:rPr>
        <w:t xml:space="preserve">именуемое в дальнейшем «Министерство», в лице министра__________________, действующего на основании Положения о Министерстве экономики Республики Татарстан, утвержденного постановлением Кабинета Министров Республики Татарстан от 23.07.2007 № 325 «Вопросы М</w:t>
      </w:r>
      <w:r>
        <w:rPr>
          <w:spacing w:val="-2"/>
          <w:sz w:val="28"/>
          <w:szCs w:val="28"/>
        </w:rPr>
        <w:t xml:space="preserve">инистерства экономики Республики Татарстан», с одной стороны и___________________________, именуемое в дальнейшем «Субъект инвестиционной деятельности», в лице __________________________, действующего на основании Устава, с другой стороны, вместе в дальней</w:t>
      </w:r>
      <w:r>
        <w:rPr>
          <w:spacing w:val="-2"/>
          <w:sz w:val="28"/>
          <w:szCs w:val="28"/>
        </w:rPr>
        <w:t xml:space="preserve">шем именуемые «Стороны», в соответствии с Законом Республики Татарстан «Об инвестиционной деятельности в Республике Татарстан» и распоряжением Кабинета Министров Республики Татарстан от _______________ № _______ заключили настоящий Договор о нижеследующем: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1. ПРЕДМЕТ ДОГОВОРА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8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Предметом настоящего Договора являются согласованные действия Сторон, направленные на реализацию инвестиционного проекта «_______________________________» и выполнение обязательств по настоящему Договору.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Начало реализации проекта - ______________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Срок окупаемости проекта –_______________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 ОБЯЗАТЕЛЬСТВА И ПРАВА СТОРОН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2.1. Министерство и Субъект инвестиционной деятельности обязуются способствовать выполнению настоящего Договора в полном объеме, для чего в случае необходимости будут взаимно информировать друг друга об обстоятельствах, </w:t>
      </w:r>
      <w:r>
        <w:rPr>
          <w:rFonts w:ascii="Times New Roman" w:hAnsi="Times New Roman"/>
          <w:spacing w:val="-2"/>
          <w:sz w:val="28"/>
          <w:szCs w:val="28"/>
        </w:rPr>
        <w:t xml:space="preserve">препятствующих выполнению настоящего Договора, и предпринимать согласованные действия по его выполнению.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 Субъект инвестиционной деятельности обязуется обеспечить: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2.2.1. Раздельное ведение бухгалтерского учета в части отражения хозяйственных операций, направленных на реализацию инвестиционного проекта.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2.2.2. Выполнение плана реализации основных этапов инвестиционного проекта в установленные сроки.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 xml:space="preserve">2.2.3. Привлечение на реализацию инвестиционного проекта инвестиций в объеме  __________млн. рублей (___________________миллионов рублей),</w:t>
      </w:r>
      <w:r>
        <w:rPr>
          <w:rFonts w:ascii="Times New Roman" w:hAnsi="Times New Roman"/>
          <w:bCs/>
          <w:spacing w:val="-2"/>
          <w:sz w:val="28"/>
          <w:szCs w:val="28"/>
        </w:rPr>
      </w:r>
      <w:r>
        <w:rPr>
          <w:rFonts w:ascii="Times New Roman" w:hAnsi="Times New Roman"/>
          <w:bCs/>
          <w:spacing w:val="-2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 xml:space="preserve">в том числе:</w:t>
      </w:r>
      <w:r>
        <w:rPr>
          <w:rFonts w:ascii="Times New Roman" w:hAnsi="Times New Roman"/>
          <w:bCs/>
          <w:spacing w:val="-2"/>
          <w:sz w:val="28"/>
          <w:szCs w:val="28"/>
        </w:rPr>
      </w:r>
      <w:r>
        <w:rPr>
          <w:rFonts w:ascii="Times New Roman" w:hAnsi="Times New Roman"/>
          <w:bCs/>
          <w:spacing w:val="-2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 xml:space="preserve">2.2.3.1. Собственные средства ________ млн. рублей, или _____% от общей стоимости проекта;</w:t>
      </w:r>
      <w:r>
        <w:rPr>
          <w:rFonts w:ascii="Times New Roman" w:hAnsi="Times New Roman"/>
          <w:bCs/>
          <w:spacing w:val="-2"/>
          <w:sz w:val="28"/>
          <w:szCs w:val="28"/>
        </w:rPr>
      </w:r>
      <w:r>
        <w:rPr>
          <w:rFonts w:ascii="Times New Roman" w:hAnsi="Times New Roman"/>
          <w:bCs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 xml:space="preserve">2.2.3.2. Привлеченные средства _________ млн. рублей, или _____% от общей стоимости проекта;</w:t>
      </w:r>
      <w:r>
        <w:rPr>
          <w:rFonts w:ascii="Times New Roman" w:hAnsi="Times New Roman"/>
          <w:bCs/>
          <w:spacing w:val="-2"/>
          <w:sz w:val="28"/>
          <w:szCs w:val="28"/>
        </w:rPr>
      </w:r>
      <w:r>
        <w:rPr>
          <w:rFonts w:ascii="Times New Roman" w:hAnsi="Times New Roman"/>
          <w:bCs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2.2.4. Целевое использование высвобожденных в результате предоставления налоговых льгот денежных средств на реализацию инвестиционного проекта.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2.2.5. Создание в ходе реализации проекта не менее ______ новых рабочих мест.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2.2.6. Исполнение следующих показателей: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объем вложенных инвестиций с начала реализации проекта;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создание новых рабочих мест с начала реализации проекта;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средней заработной  платы  по проекту за отчетный период не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ниже _____________________________________________________________________;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(среднеотраслевой заработной платы по Республике Татарстан, средней заработной платы по муниципальному образованию Республики Татарстан)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обеспечение темпа роста производительности труда не менее величины темпа роста индекса цен производителей промышленных товаров.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случае если инвестиционным проектом не предусмотрено создание</w:t>
      </w:r>
      <w:r>
        <w:rPr>
          <w:rFonts w:ascii="Times New Roman" w:hAnsi="Times New Roman"/>
          <w:spacing w:val="-2"/>
          <w:sz w:val="28"/>
          <w:szCs w:val="28"/>
        </w:rPr>
        <w:t xml:space="preserve"> новых рабочих мест, обязательным условием выполнения Договора является исполнение показателей по объему вложенных инвестиций и обеспечению темпа роста производительности труда не менее величины темпа роста индекса цен производителей промышленных товаров. 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8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Показатели по объему вложенных инвестиций, созданию новых рабочих мест признаются неисполненными при отклонении каждого из них от плановых значений за отчетный период на 25 и более процентов.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8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Плановые показатели реализации инвестиционного проекта (по данным бизнес-плана) приведены в приложении №5 к настоящему Договору. 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2.2.7. Представление в отраслевое министерство и Министерство ежеквартально до 20 числа второго месяца, следующего за отчетным кварталом, отчетной информации: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о выполнении Договора по формам согласно приложениям №1 и №2 к настоящему Договору;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о ходе реализации инвестиционного проекта по форме согласно приложению №3 к настоящему Договору.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2.2.8. Представление в Министерство ежегодно, до 1 мая, программы деятельности Субъекта инвестиционной деятельности по инвестиционному проекту на следующий год, согласованной с отраслевым министерством, согласно приложению №4 к настоящему Договору.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2.2.9.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Представление в Министерство экономики Республики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 Татарстан ежегодно, до 1 марта, перечня имущества вновь созданного (приобретенного) в рамках реализации инвестиционного проекта за истекший налоговый период, согласованного с отраслевым министерством, по форме согласно приложению №6 к настоящему Договору.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2.2.10. Ежегодно уплату в консолидированный бюджет Республики Татарстан совокупной суммы налога на прибыль организаций, налога на доходы физических лиц, налога на  имущество  организаций,  транспортного налога, земельного налога  и  суммы  соотв</w:t>
      </w:r>
      <w:r>
        <w:rPr>
          <w:rFonts w:ascii="Times New Roman" w:hAnsi="Times New Roman"/>
          <w:sz w:val="28"/>
          <w:szCs w:val="28"/>
        </w:rPr>
        <w:t xml:space="preserve">етствующих  пеней  и  штрафов (с исключением влияния изменений сумм недоимки по налогам, задолженности по пеням и штрафам и сумм излишне  уплаченных или излишне взысканных налогов (пеней, штрафов) в части налога на прибыль организаций и налога на имущество</w:t>
      </w:r>
      <w:r>
        <w:rPr>
          <w:rFonts w:ascii="Times New Roman" w:hAnsi="Times New Roman"/>
          <w:sz w:val="28"/>
          <w:szCs w:val="28"/>
        </w:rPr>
        <w:t xml:space="preserve"> организаций)) в размере не  менее  среднеарифметического значения сумм фактической уплаты Субъектом инвестиционной деятельности соответствующих  налогов  (пеней, штрафов) (в сопоставимых условиях в части  применения налоговых льгот) за три года, предшеств</w:t>
      </w:r>
      <w:r>
        <w:rPr>
          <w:rFonts w:ascii="Times New Roman" w:hAnsi="Times New Roman"/>
          <w:sz w:val="28"/>
          <w:szCs w:val="28"/>
        </w:rPr>
        <w:t xml:space="preserve">ующих  отчетному году (либо за иной период, предшествующий отчетному  году,  но  не более двух лет, с учетом момента создания Субъекта инвестиционной  деятельности), проиндексированных по итогам каждого года на показатель  изменения суммы поступлений налог</w:t>
      </w:r>
      <w:r>
        <w:rPr>
          <w:rFonts w:ascii="Times New Roman" w:hAnsi="Times New Roman"/>
          <w:sz w:val="28"/>
          <w:szCs w:val="28"/>
        </w:rPr>
        <w:t xml:space="preserve">ов в консолидированные бюджеты субъектов   Российской   Федерации  в  целом  по  Российской  Федерации  по соответствующей   отрасли,   определяемый  на  основании  данных  отчета  о начислении  и  поступлении  налогов, сборов и страховых взносов в бюджетн</w:t>
      </w:r>
      <w:r>
        <w:rPr>
          <w:rFonts w:ascii="Times New Roman" w:hAnsi="Times New Roman"/>
          <w:sz w:val="28"/>
          <w:szCs w:val="28"/>
        </w:rPr>
        <w:t xml:space="preserve">ую систему  Российской  Федерации по основным видам экономической деятельности за  соответствующий год, представляемого по форме, утверждаемой федеральным органом  исполнительной  власти,  уполномоченным  по  контролю  и надзору в области налогов и сборов.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2.2.11. Направление в течение  10  рабочих  дней  со  дня заключения настоящего  Договора в адрес Министерства  финансов Республики Татарстан согласия на предоставление налоговым органом в  Министерство </w:t>
      </w:r>
      <w:r>
        <w:rPr>
          <w:rFonts w:ascii="Times New Roman" w:hAnsi="Times New Roman"/>
          <w:sz w:val="28"/>
          <w:szCs w:val="28"/>
        </w:rPr>
        <w:t xml:space="preserve"> финансов Республики Татарстан сведений о суммах начисленных и уплаченных Субъектом инвестиционной  деятельности налогах, суммах недоимки по налогам, задолженности  по пеням и штрафам и суммах излишне уплаченных или излишне взысканных  налогов  (пеней,  шт</w:t>
      </w:r>
      <w:r>
        <w:rPr>
          <w:rFonts w:ascii="Times New Roman" w:hAnsi="Times New Roman"/>
          <w:sz w:val="28"/>
          <w:szCs w:val="28"/>
        </w:rPr>
        <w:t xml:space="preserve">рафов), суммах полученных налоговых льгот в разрезе льгот, начиная с 1 января четвертого года,  предшествующего отчетному году, либо начиная с даты создания Субъекта инвестиционной деятельности,  если  Субъект  инвестиционной  деятельности  создан позднее.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2.12. Ежегодно, до 15 декабря, направление в Министерство финансов Республики Татарстан информации  о коде и наименовании  основного вида экономической деятельности, осуществляемой Субъектом инвестиционной деятельности за отчетный год и за три года, предше</w:t>
      </w:r>
      <w:r>
        <w:rPr>
          <w:rFonts w:ascii="Times New Roman" w:hAnsi="Times New Roman"/>
          <w:sz w:val="28"/>
          <w:szCs w:val="28"/>
        </w:rPr>
        <w:t xml:space="preserve">ствующих отчетному, в соответствии с формой статистического налогового отчета «Отчет о начислении и  поступлении налогов, сборов и  страховых  взносов в бюджетную систему Российской  Федерации по основным видам  экономической деятельности», с обоснованием </w:t>
      </w:r>
      <w:r>
        <w:rPr>
          <w:rFonts w:ascii="Times New Roman" w:hAnsi="Times New Roman"/>
          <w:sz w:val="28"/>
          <w:szCs w:val="28"/>
        </w:rPr>
        <w:t xml:space="preserve">выбора кода и наименования основного вида экономической деятельности согласно при</w:t>
      </w:r>
      <w:r>
        <w:rPr>
          <w:rFonts w:ascii="Times New Roman" w:hAnsi="Times New Roman"/>
          <w:sz w:val="28"/>
          <w:szCs w:val="28"/>
        </w:rPr>
        <w:t xml:space="preserve">казу Федеральной налоговой службы об утверждении форм статистической налоговой отчетности Федеральной налоговой службы на соответствующий год исходя из основного вида экономической деятельности Субъекта инвестиционной деятельности согласно Общероссийскому </w:t>
      </w:r>
      <w:hyperlink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07.12.2021){КонсультантПлюс}" w:history="1">
        <w:r>
          <w:rPr>
            <w:rFonts w:ascii="Times New Roman" w:hAnsi="Times New Roman"/>
            <w:sz w:val="28"/>
            <w:szCs w:val="28"/>
          </w:rPr>
          <w:t xml:space="preserve">классификатору</w:t>
        </w:r>
      </w:hyperlink>
      <w:r>
        <w:rPr>
          <w:rFonts w:ascii="Times New Roman" w:hAnsi="Times New Roman"/>
          <w:sz w:val="28"/>
          <w:szCs w:val="28"/>
        </w:rPr>
        <w:t xml:space="preserve"> видов экономической деятельности.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7"/>
        <w:ind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2.3. В соответствии с налоговым и бюджетным законодательством Субъекту инвестиционной деятельности представляются следующие налоговые льготы: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67"/>
        <w:ind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2268"/>
        <w:gridCol w:w="1985"/>
      </w:tblGrid>
      <w:tr>
        <w:tblPrEx/>
        <w:trPr>
          <w:cantSplit/>
          <w:trHeight w:val="820"/>
          <w:tblHeader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Наименование вида 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налога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Ставка налога, в части зачисляемой в бюджет Республики Татарстан, %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Сумма налоговых льгот, тыс. руб.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Сроки предоставления льгот, год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  <w:trHeight w:val="282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Налог на имущество</w:t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  <w:trHeight w:val="282"/>
        </w:trPr>
        <w:tc>
          <w:tcPr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  <w:trHeight w:val="282"/>
        </w:trPr>
        <w:tc>
          <w:tcPr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  <w:trHeight w:val="228"/>
        </w:trPr>
        <w:tc>
          <w:tcPr>
            <w:tcBorders>
              <w:bottom w:val="single" w:color="auto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  <w:r>
              <w:rPr>
                <w:bCs/>
                <w:spacing w:val="-2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9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 на прибыль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9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970"/>
              <w:ind w:firstLine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W w:w="2835" w:type="dxa"/>
            <w:textDirection w:val="lrTb"/>
            <w:noWrap w:val="false"/>
          </w:tcPr>
          <w:p>
            <w:pPr>
              <w:jc w:val="right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Всего</w:t>
            </w:r>
            <w:r>
              <w:rPr>
                <w:b/>
                <w:spacing w:val="-2"/>
                <w:sz w:val="28"/>
                <w:szCs w:val="28"/>
              </w:rPr>
            </w:r>
            <w:r>
              <w:rPr>
                <w:b/>
                <w:spacing w:val="-2"/>
                <w:sz w:val="28"/>
                <w:szCs w:val="28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</w:r>
            <w:r>
              <w:rPr>
                <w:b/>
                <w:spacing w:val="-2"/>
                <w:sz w:val="28"/>
                <w:szCs w:val="28"/>
              </w:rPr>
            </w:r>
            <w:r>
              <w:rPr>
                <w:b/>
                <w:spacing w:val="-2"/>
                <w:sz w:val="28"/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</w:r>
            <w:r>
              <w:rPr>
                <w:b/>
                <w:bCs/>
                <w:spacing w:val="-2"/>
                <w:sz w:val="28"/>
                <w:szCs w:val="28"/>
              </w:rPr>
            </w:r>
            <w:r>
              <w:rPr>
                <w:b/>
                <w:bCs/>
                <w:spacing w:val="-2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</w:r>
            <w:r>
              <w:rPr>
                <w:b/>
                <w:spacing w:val="-2"/>
                <w:sz w:val="28"/>
                <w:szCs w:val="28"/>
              </w:rPr>
            </w:r>
            <w:r>
              <w:rPr>
                <w:b/>
                <w:spacing w:val="-2"/>
                <w:sz w:val="28"/>
                <w:szCs w:val="28"/>
              </w:rPr>
            </w:r>
          </w:p>
        </w:tc>
      </w:tr>
    </w:tbl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/>
      <w:bookmarkStart w:id="1" w:name="sub_22301"/>
      <w:r>
        <w:rPr>
          <w:sz w:val="28"/>
          <w:szCs w:val="28"/>
        </w:rPr>
        <w:t xml:space="preserve">Указанные суммы налоговых льгот являются ориентировочными. </w:t>
      </w:r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налоговых льгот осуществляется по итогам налогового периода согласно указанным налоговым ставкам по налогу на имущество организаций и (или)</w:t>
      </w:r>
      <w:r>
        <w:rPr>
          <w:sz w:val="28"/>
          <w:szCs w:val="28"/>
        </w:rPr>
        <w:t xml:space="preserve"> по налогу на прибыль организаций, исходя из фактических показателей деятельности Субъекта инвестиционной деятельности, отраженных в его бухгалтерской и налоговой отчетности, при условии выполнения обязательства по уплате налогов и сборов в соответствии с </w:t>
      </w:r>
      <w:hyperlink w:tooltip="#sub_22211" w:anchor="sub_22211" w:history="1">
        <w:r>
          <w:rPr>
            <w:sz w:val="28"/>
            <w:szCs w:val="28"/>
          </w:rPr>
          <w:t xml:space="preserve">подпунктом 2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.2.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10 пункта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 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2</w:t>
        </w:r>
      </w:hyperlink>
      <w:r>
        <w:rPr>
          <w:sz w:val="28"/>
          <w:szCs w:val="28"/>
        </w:rPr>
        <w:t xml:space="preserve"> настоящего Договора.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Вновь созданный субъект инвестиционной деятельности вправе применить указанные налоговые ставки по налогу на имущество организаций и (или) по налогу на прибыль организаций без соблюдения условия, установленного </w:t>
      </w:r>
      <w:hyperlink w:tooltip="#sub_22211" w:anchor="sub_22211" w:history="1">
        <w:r>
          <w:rPr>
            <w:sz w:val="28"/>
            <w:szCs w:val="28"/>
          </w:rPr>
          <w:t xml:space="preserve">подпунктом 2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.2.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10 пункта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 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2</w:t>
        </w:r>
      </w:hyperlink>
      <w:r>
        <w:rPr>
          <w:sz w:val="28"/>
          <w:szCs w:val="28"/>
        </w:rPr>
        <w:t xml:space="preserve"> настоящего Договора, по итогам первого налогового периода по соответствующему налогу. </w:t>
      </w:r>
      <w:bookmarkStart w:id="2" w:name="sub_200325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финансов Республики Татарстан не позднее 15 марта года,</w:t>
      </w:r>
      <w:bookmarkEnd w:id="2"/>
      <w:r>
        <w:rPr>
          <w:sz w:val="28"/>
          <w:szCs w:val="28"/>
        </w:rPr>
        <w:t xml:space="preserve"> следующего за отчетным, уведомляет Министерство экономики Республики Татарстан о выполнении (невыполнении) Субъектом инвестиционной деятельности </w:t>
      </w:r>
      <w:r>
        <w:rPr>
          <w:sz w:val="28"/>
          <w:szCs w:val="28"/>
        </w:rPr>
        <w:t xml:space="preserve">обязательства в соответствии с </w:t>
      </w:r>
      <w:hyperlink w:tooltip="#sub_22211" w:anchor="sub_22211" w:history="1">
        <w:r>
          <w:rPr>
            <w:sz w:val="28"/>
            <w:szCs w:val="28"/>
          </w:rPr>
          <w:t xml:space="preserve">подпунктом 2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.2.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10 пункта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 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2</w:t>
        </w:r>
      </w:hyperlink>
      <w:r>
        <w:rPr>
          <w:sz w:val="28"/>
          <w:szCs w:val="28"/>
        </w:rPr>
        <w:t xml:space="preserve"> настоящего Договора. Оценка выполн</w:t>
      </w:r>
      <w:r>
        <w:rPr>
          <w:sz w:val="28"/>
          <w:szCs w:val="28"/>
        </w:rPr>
        <w:t xml:space="preserve">ения данного обязательства осуществляется в соответствии с Порядком и методикой оценки соблюдения отдельной категорией налогоплательщиков условия применения налоговой ставки по налогу на имущество организаций и налогу на прибыль организаций, утвержденными </w:t>
      </w:r>
      <w:hyperlink r:id="rId24" w:tooltip="http://internet.garant.ru/document/redirect/74262304/0" w:history="1">
        <w:r>
          <w:rPr>
            <w:sz w:val="28"/>
            <w:szCs w:val="28"/>
          </w:rPr>
          <w:t xml:space="preserve">постановлением</w:t>
        </w:r>
      </w:hyperlink>
      <w:r>
        <w:rPr>
          <w:sz w:val="28"/>
          <w:szCs w:val="28"/>
        </w:rPr>
        <w:t xml:space="preserve"> Ка</w:t>
      </w:r>
      <w:r>
        <w:rPr>
          <w:sz w:val="28"/>
          <w:szCs w:val="28"/>
        </w:rPr>
        <w:t xml:space="preserve">бинета Министров Республики Татарстан от 15.06.2020 № 495 «Об утверждении Порядка и методики оценки соблюдения отдельной категорией налогоплательщиков условия применения налоговой ставки по налогу на имущество организаций и налогу на прибыль организаций». </w:t>
      </w:r>
      <w:bookmarkStart w:id="3" w:name="sub_200328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экономики Республики Татарстан ежегодно, до 20 марта, </w:t>
      </w:r>
      <w:bookmarkEnd w:id="3"/>
      <w:r>
        <w:rPr>
          <w:sz w:val="28"/>
          <w:szCs w:val="28"/>
        </w:rPr>
        <w:t xml:space="preserve">направляет Субъекту инвестиционной деятельности уведомление о выполнении (невыполнении) им обязательства по уплате налогов и сборов в консолидированный бюджет Республики Татарстан в соответствии с </w:t>
      </w:r>
      <w:hyperlink w:tooltip="#sub_22211" w:anchor="sub_22211" w:history="1">
        <w:r>
          <w:rPr>
            <w:sz w:val="28"/>
            <w:szCs w:val="28"/>
          </w:rPr>
          <w:t xml:space="preserve">подпунктом 2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.2.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10 пункта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 2.</w:t>
        </w:r>
      </w:hyperlink>
      <w:r/>
      <w:hyperlink w:tooltip="#sub_22211" w:anchor="sub_22211" w:history="1">
        <w:r>
          <w:rPr>
            <w:sz w:val="28"/>
            <w:szCs w:val="28"/>
          </w:rPr>
          <w:t xml:space="preserve">2</w:t>
        </w:r>
      </w:hyperlink>
      <w:r>
        <w:rPr>
          <w:sz w:val="28"/>
          <w:szCs w:val="28"/>
        </w:rPr>
        <w:t xml:space="preserve"> настоящего Договора.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 ОТВЕТСТВЕННОСТЬ СТОРОН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3.1. Стороны несут ответственность по своим обязательствам в соответствии с действующим законодательством Российской Федерации.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3.2. Использование средств государственной поддержки на цели, не предусмотренные настоящим Договором, служит основанием для изъятия предоставленных сумм налоговых льгот и влечет ответственность в соответствии с действующим законодательством.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3.3. Разногласия, которые могут возникнуть в ходе реализации настоящего Договора, должны решаться путем переговоров Сторон. 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случае невозможности решить разногласия путем переговоров они подлежат разрешению в порядке, установленном действующим законодательством.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3.4. Стороны освобождаются от ответственности за неисполн</w:t>
      </w:r>
      <w:r>
        <w:rPr>
          <w:rFonts w:ascii="Times New Roman" w:hAnsi="Times New Roman"/>
          <w:spacing w:val="-2"/>
          <w:sz w:val="28"/>
          <w:szCs w:val="28"/>
        </w:rPr>
        <w:t xml:space="preserve">ение настоящего Договора при наступлении форс-мажорных обстоятельств, введении запретных либо ограничительных мер законодательством Российской Федерации и законодательством Республики Татарстан, препятствующих выполнению обязательств настоящего Договора. </w:t>
      </w:r>
      <w:r>
        <w:rPr>
          <w:rFonts w:ascii="Times New Roman" w:hAnsi="Times New Roman"/>
          <w:spacing w:val="-2"/>
          <w:sz w:val="28"/>
          <w:szCs w:val="28"/>
        </w:rPr>
        <w:t xml:space="preserve">При наступлении перечисленных обстоятельств Стороны проводят переговоры и вносят изменения в условия настоящего Договора.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4. ДОСРОЧНОЕ РАСТОРЖЕНИЕ ДОГОВОРА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4.1. Настоящий Договор может быть досрочно расторгнут: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по соглашению Сторон;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по требованию Министерства экономики Республики Татарстан в случаях: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если Субъект инвестиционной деятельности не представляет или представляет не в полном объеме или не в установленные сроки информацию о выполнении инвестиционного проекта и обязательств настоящего Договора;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невыполнения Субъектом инвестиционной деятельности не менее двух показателей, предусмотренных в п. 2.2.6 настоящего Договора;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при намеренном искажении сведений, выявленных при проверке отчетных документов Субъекта инвестиционной деятельности;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если инвестиционный проект не реализуется в течение 90 календарных дней со дня заключения настоящего Договора;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firstLine="709"/>
        <w:jc w:val="both"/>
        <w:widowControl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в иных случаях, предусмотренных действующим законодательством.</w:t>
      </w:r>
      <w:r>
        <w:rPr>
          <w:rFonts w:ascii="Times New Roman" w:hAnsi="Times New Roman"/>
          <w:spacing w:val="-6"/>
          <w:sz w:val="28"/>
          <w:szCs w:val="28"/>
        </w:rPr>
      </w:r>
      <w:r>
        <w:rPr>
          <w:rFonts w:ascii="Times New Roman" w:hAnsi="Times New Roman"/>
          <w:spacing w:val="-6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 4.2. Настоящий договор считается расторгнутым</w:t>
      </w:r>
      <w:r>
        <w:rPr>
          <w:rFonts w:ascii="Times New Roman" w:hAnsi="Times New Roman"/>
          <w:spacing w:val="-2"/>
          <w:sz w:val="28"/>
          <w:szCs w:val="28"/>
        </w:rPr>
        <w:t xml:space="preserve"> со дня получения Субъектом инвестиционной деятельности уведомления о досрочном расторжении настоящего Договора. При этом предоставление налоговых льгот прекращается с начала отчетного периода налоговых платежей, в котором был расторгнут настоящий Договор.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5. СРОК ДЕЙСТВИЯ ДОГОВОРА, 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ВНЕСЕНИЕ В НЕГО ИЗМЕНЕНИЙ И ДОПОЛНЕНИЙ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Настоящий  Договор  вступает  в силу со дня подписания его последней Стороной  и действует до срока окупаемости инвестиционного проекта (или иного срока, определенного законодательством Республики  Татарстан) «__» __________ г.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5.2. Все изменения и дополнения к настоящему Договору вносятся по соглашению Сторон путем оформления в письменной форме дополнения к настоящему Договору, подписываемого Сторонами и согласованного с Министерством финансов Республики Татарстан.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0" w:right="0" w:firstLine="709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случае если изменения и дополнения к настоящему Договору вносят изменение в предмет договора и (или) снимают какие-либо</w:t>
      </w:r>
      <w:r>
        <w:rPr>
          <w:rFonts w:ascii="Times New Roman" w:hAnsi="Times New Roman"/>
          <w:spacing w:val="-2"/>
          <w:sz w:val="28"/>
          <w:szCs w:val="28"/>
        </w:rPr>
        <w:t xml:space="preserve"> обязательства Субъекта инвестиционной деятельности или уменьшают их объем более чем на 10 процентов, они могут быть приняты на основании распоряжения Кабинета Министров Республики Татарстан после согласования с Министерством финансов Республики Татарстан.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6. ЗАКЛЮЧИТЕЛЬНЫЕ ПОЛОЖЕНИЯ ДОГОВОРА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ab/>
        <w:t xml:space="preserve">Настоящий Договор составлен в пяти экземплярах, имеющих равную юридическую силу, и представляется по одному экземпляру: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720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Субъекту инвестиционной деятельности;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720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Министерство экономики Республики Татарстан;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720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отраслевое министерство;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720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Министерство финансов Республики Татарстан;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ind w:left="720"/>
        <w:jc w:val="both"/>
        <w:widowControl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налоговый орган по месту нахождения Субъекта инвестиционной деятельности.</w:t>
      </w:r>
      <w:r>
        <w:rPr>
          <w:rFonts w:ascii="Times New Roman" w:hAnsi="Times New Roman"/>
          <w:spacing w:val="-2"/>
          <w:sz w:val="28"/>
          <w:szCs w:val="28"/>
        </w:rPr>
      </w: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АДРЕСА И РЕКВИЗИТЫ СТОРОН: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экономики Республики Татарстан 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финансов Республики Татарстан 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Субъект инвестиционной деятельности 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center"/>
        <w:widowControl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ПОДПИСИ СТОРОН: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61"/>
        <w:ind w:left="284" w:right="140"/>
        <w:widowControl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Согласованно: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экономики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Министр финансов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Республики Татарстан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                                         __________________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«__» _________ 20__ г.                                          «__» 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Субъект инвестиционной деятельности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 w:firstLine="70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 w:firstLine="70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_______________ 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ind w:left="284" w:right="1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«__» _________ 20__ г.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851" w:right="567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Приложение №1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Договору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 реализации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инвестиционного 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(ежеквартальная)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56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выполнении обязательств договора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субъекта инвестиционной деятельности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отчетный период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00"/>
        <w:gridCol w:w="4560"/>
        <w:gridCol w:w="3960"/>
      </w:tblGrid>
      <w:tr>
        <w:tblPrEx/>
        <w:trPr>
          <w:jc w:val="center"/>
          <w:trHeight w:val="4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№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п/п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Обязательства по договору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9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Фактическое выполнение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9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Руководитель   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Ф.И.О.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Исполнитель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Ф.И.О.</w: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Приложение №2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Договору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 реализации инвестиционного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проекта 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(ежеквартальная)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налоговых льготах, предоставляемых по Договору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субъекта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отчетный период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1620"/>
        <w:gridCol w:w="2025"/>
        <w:gridCol w:w="2295"/>
        <w:gridCol w:w="2430"/>
      </w:tblGrid>
      <w:tr>
        <w:tblPrEx/>
        <w:trPr>
          <w:cantSplit/>
          <w:trHeight w:val="8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 налогов,</w:t>
            </w:r>
            <w:r>
              <w:rPr>
                <w:sz w:val="28"/>
                <w:szCs w:val="28"/>
              </w:rPr>
              <w:br/>
              <w:t xml:space="preserve">по которым</w:t>
            </w:r>
            <w:r>
              <w:rPr>
                <w:sz w:val="28"/>
                <w:szCs w:val="28"/>
              </w:rPr>
              <w:br/>
              <w:t xml:space="preserve">предоставлены </w:t>
            </w:r>
            <w:r>
              <w:rPr>
                <w:sz w:val="28"/>
                <w:szCs w:val="28"/>
              </w:rPr>
              <w:br/>
              <w:t xml:space="preserve">льготы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налоговых льгот</w:t>
            </w:r>
            <w:r>
              <w:rPr>
                <w:sz w:val="28"/>
                <w:szCs w:val="28"/>
              </w:rPr>
              <w:br/>
              <w:t xml:space="preserve">за отчетный</w:t>
            </w:r>
            <w:r>
              <w:rPr>
                <w:sz w:val="28"/>
                <w:szCs w:val="28"/>
              </w:rPr>
              <w:br/>
              <w:t xml:space="preserve">период,    </w:t>
            </w:r>
            <w:r>
              <w:rPr>
                <w:sz w:val="28"/>
                <w:szCs w:val="28"/>
              </w:rPr>
              <w:br/>
              <w:t xml:space="preserve">тыс. рублей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 использованных льгот</w:t>
            </w:r>
            <w:r>
              <w:rPr>
                <w:sz w:val="28"/>
                <w:szCs w:val="28"/>
              </w:rPr>
              <w:br/>
              <w:t xml:space="preserve">за отчетный</w:t>
            </w:r>
            <w:r>
              <w:rPr>
                <w:sz w:val="28"/>
                <w:szCs w:val="28"/>
              </w:rPr>
              <w:br/>
              <w:t xml:space="preserve">период,   тыс.</w:t>
            </w:r>
            <w:r>
              <w:rPr>
                <w:sz w:val="28"/>
                <w:szCs w:val="28"/>
              </w:rPr>
              <w:br/>
              <w:t xml:space="preserve">рублей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9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 налоговых</w:t>
            </w:r>
            <w:r>
              <w:rPr>
                <w:sz w:val="28"/>
                <w:szCs w:val="28"/>
              </w:rPr>
              <w:br/>
              <w:t xml:space="preserve">льгот  с  начала</w:t>
            </w:r>
            <w:r>
              <w:rPr>
                <w:sz w:val="28"/>
                <w:szCs w:val="28"/>
              </w:rPr>
              <w:br/>
              <w:t xml:space="preserve">предоставления  </w:t>
            </w:r>
            <w:r>
              <w:rPr>
                <w:sz w:val="28"/>
                <w:szCs w:val="28"/>
              </w:rPr>
              <w:br/>
              <w:t xml:space="preserve">льготного  налогообложения    </w:t>
            </w:r>
            <w:r>
              <w:rPr>
                <w:sz w:val="28"/>
                <w:szCs w:val="28"/>
              </w:rPr>
              <w:br/>
              <w:t xml:space="preserve">тыс. рублей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3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  использованных  льгот   с начала предоставления   льготного</w:t>
            </w:r>
            <w:r>
              <w:rPr>
                <w:sz w:val="28"/>
                <w:szCs w:val="28"/>
              </w:rPr>
              <w:br/>
              <w:t xml:space="preserve">налогообложения, </w:t>
            </w:r>
            <w:r>
              <w:rPr>
                <w:sz w:val="28"/>
                <w:szCs w:val="28"/>
              </w:rPr>
              <w:br/>
              <w:t xml:space="preserve">тыс. рублей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9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3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9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3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Ф.И.О.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Ф.И.О.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  <w:t xml:space="preserve">Приложение №3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Договору о реализации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инвестиционного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(ежеквартальная)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1. Название инвестиционного проекта 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2. Решение о предоставлении государственной поддержки 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3. Начало реализации проекта 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4. Срок предоставления государственной поддержки 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5. Объем инвестиций по проекту 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6. Срок окупаемости проекта 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7. Среднесписочная численность по проекту 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т.ч. создание новых рабочих мест по проекту 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8. Бюджетный эффект Республики Татарстан от проекта 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20"/>
        <w:gridCol w:w="1320"/>
        <w:gridCol w:w="1200"/>
      </w:tblGrid>
      <w:tr>
        <w:tblPrEx/>
        <w:trPr>
          <w:trHeight w:val="4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Наименование отчетного периода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25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Отчетный период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план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факт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Объем инвестиций с начала реализации проекта,  тыс.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рублей с налогом на добавленную стоимость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Объем  реализации,  тыс.  рублей  без  налога   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добавленную стоимость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Объем налоговых льгот, тыс. рублей: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налогу на прибыль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налогу на имущество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Направление и использование налоговых льгот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Среднесписочная численность  по  проекту  -  всего,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человек, создание новых рабочих мест, единиц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Средняя заработная плата по проекту, тыс. рублей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200"/>
        </w:trPr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Поступления в консолидированный  бюджет  Республики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- всего, тыс. рублей,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налогу на прибыль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налогу на имущество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налогу на доходы физических лиц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Амортизационные отчисления по проекту, тыс. рублей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7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Чистая прибыль по проекту, тыс. рублей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2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20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Приложение №4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к Договору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о реализации инвестиционного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проекта 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(ежеквартальная)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Согласовано:                                                                                Утверждаю: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(отраслевое министерство)                                          Генеральный директор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                                       ____________________          _________________________________                                       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 20__ ____г.                                      ___________20__ ___г.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Субъекта инвестиционной деятельности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инвестиционному проекту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________________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1. Краткая характеристика хода реализации инвестиционного проекта 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предыдущем году и в первом квартале текущего года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(Указывается информация о выполнении программы по инвестиционному проекту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предыдущем году, о ходе реализации программы и ожидаемых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результатах ее выполнения в текущем году)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(Анализ причин отклонения (в том числе ожидаемого) фактических показателей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организации по инвестиционному проекту от запланированных)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left="4111" w:firstLine="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left="4111" w:firstLine="0"/>
        <w:widowControl/>
        <w:rPr>
          <w:rFonts w:ascii="Times New Roman" w:hAnsi="Times New Roman" w:cs="Times New Roman"/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left="4111" w:firstLine="0"/>
        <w:widowControl/>
        <w:rPr>
          <w:rFonts w:ascii="Times New Roman" w:hAnsi="Times New Roman" w:cs="Times New Roman"/>
          <w:sz w:val="28"/>
          <w:szCs w:val="28"/>
        </w:rPr>
        <w:outlineLvl w:val="3"/>
      </w:pPr>
      <w:r>
        <w:rPr>
          <w:rFonts w:ascii="Times New Roman" w:hAnsi="Times New Roman" w:cs="Times New Roman"/>
          <w:sz w:val="28"/>
          <w:szCs w:val="28"/>
        </w:rPr>
        <w:t xml:space="preserve">Раздел 2. Мероприятия по реализации инвестиционного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4111"/>
        <w:jc w:val="both"/>
        <w:widowControl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  <w:t xml:space="preserve">2.1. Инвестиционные издержки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(тыс.рублей)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5513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338"/>
        <w:gridCol w:w="992"/>
        <w:gridCol w:w="1072"/>
        <w:gridCol w:w="1196"/>
        <w:gridCol w:w="1276"/>
        <w:gridCol w:w="1276"/>
        <w:gridCol w:w="1417"/>
        <w:gridCol w:w="1418"/>
        <w:gridCol w:w="1275"/>
      </w:tblGrid>
      <w:tr>
        <w:tblPrEx/>
        <w:trPr>
          <w:trHeight w:val="3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вида издержек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Ранее реализованные 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предыдущем  году реализованные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 планируемый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планируемый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 планируемый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 (отчет)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6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Предынвестиционные затраты (научно-исследовательские, опытно-конструкторские и проектно-сметные работы)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Основные средства, в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Недвижимое имущество: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здания, сооружения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монтажные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Движимое имущество, принятое на учет до 01.01.2013: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строительно-монтажные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Движимое имущество, принятое на учет после 01.01.2013: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строительно-монтажные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Прирост оборотных  средств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Общая сумма издержек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  <w:t xml:space="preserve">2.2. Источники финансирования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jc w:val="righ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553"/>
        <w:gridCol w:w="1701"/>
        <w:gridCol w:w="850"/>
        <w:gridCol w:w="915"/>
        <w:gridCol w:w="1070"/>
        <w:gridCol w:w="992"/>
        <w:gridCol w:w="992"/>
        <w:gridCol w:w="1701"/>
        <w:gridCol w:w="1418"/>
        <w:gridCol w:w="1417"/>
      </w:tblGrid>
      <w:tr>
        <w:tblPrEx/>
        <w:trPr>
          <w:cantSplit/>
          <w:trHeight w:val="1004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00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вида источника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553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Ранее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предыдущем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году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реализован-ные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19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планируе-мый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планируе-мый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 планиру-емый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0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кв.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0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  кв. 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Собственные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(прибыль,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амортизация и др.)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60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Заемные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(кредиты, займы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другие заемные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средства)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10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Средства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господдержки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(средства,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высвобожденные в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результате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предоставления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налоговых льгот)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&lt;*&gt;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70"/>
        <w:ind w:firstLine="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ind w:firstLine="540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--------------------------------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При использовании в инвестиционных издержках.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  <w:t xml:space="preserve">2.3. Затраты на производство и сбыт продукции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jc w:val="righ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5"/>
        <w:gridCol w:w="810"/>
        <w:gridCol w:w="1215"/>
        <w:gridCol w:w="1215"/>
        <w:gridCol w:w="1215"/>
        <w:gridCol w:w="1215"/>
        <w:gridCol w:w="1620"/>
        <w:gridCol w:w="1620"/>
        <w:gridCol w:w="1620"/>
      </w:tblGrid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185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0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Объем продажи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(производства) продукции в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натуральном выражении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Цена продажи единицы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продукции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Выручка от продажи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продукции (в денежном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выражении)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НДС из выручки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Выручка от продажи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продукции (в денежном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выражении) без НДС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Расходы на производство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реализацию продукции - всего,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т.ч.: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6.1. Прямые расходы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6.1.1. Материальные расходы: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53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6.1.1.1. Топливо и энергия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6.1.1.2. Сырье и материалы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6.1.1.3. Комплектующие изделия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Справочно: НДС к возмещению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материалам, топливу, энергии,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комплектующим и т.п.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6.1.2. Расходы на оплату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6.1.3. Амортизационные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отчисления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 Косвенные расходы: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53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6.2.1. Отчисления в фонды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социального страхования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6.2.2. Затраты по лизингу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6.2.3. Сумма налогов и сборов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6.2.4. Уплата процентов за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кредит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6.2.5. Расходы на реализацию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продукции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6.2.6. Прочие косвенные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расходы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Прибыль от производства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продукции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Платежи из прибыли в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всего, в т.ч.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8.1. Налоги, относимые на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финансовый результат, -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т.ч.: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8.1.1. Налог на имущество &lt;**&gt;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8.1.2. Налог на прибыль &lt;**&gt;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Чистая прибыль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8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Чистая прибыль нарастающим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итогом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1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6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&lt;**&gt;  Налоги  рассчитываются  с  учетом  предоставления льгот в соответствии с договором о реализации инвестиционного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  <w:t xml:space="preserve">2.4. Прочие показатели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jc w:val="righ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458"/>
        <w:gridCol w:w="945"/>
        <w:gridCol w:w="1215"/>
        <w:gridCol w:w="1215"/>
        <w:gridCol w:w="1215"/>
        <w:gridCol w:w="1215"/>
        <w:gridCol w:w="1384"/>
        <w:gridCol w:w="1418"/>
        <w:gridCol w:w="1275"/>
      </w:tblGrid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458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предыдущем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0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384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Налоговые льготы - всего,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т.ч.: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По налогу на  прибыль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По налогу на   имущество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Налоговые  поступления - всего,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т.ч.: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В бюджет  Российской Федерации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В бюджет   Республики Татарстан -всего,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т.ч.: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2.2.1. Налог на   прибыль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2.2.2. Налог на   имущество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Среднесписочная   численность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Средняя заработная плата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84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textDirection w:val="lrTb"/>
            <w:noWrap w:val="false"/>
          </w:tcPr>
          <w:p>
            <w:pPr>
              <w:pStyle w:val="970"/>
              <w:ind w:firstLine="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right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540"/>
        <w:jc w:val="both"/>
        <w:rPr>
          <w:rFonts w:ascii="Times New Roman" w:hAnsi="Times New Roman" w:cs="Times New Roman"/>
          <w:sz w:val="28"/>
          <w:szCs w:val="28"/>
        </w:rPr>
        <w:outlineLvl w:val="4"/>
      </w:pPr>
      <w:r>
        <w:rPr>
          <w:rFonts w:ascii="Times New Roman" w:hAnsi="Times New Roman" w:cs="Times New Roman"/>
          <w:sz w:val="28"/>
          <w:szCs w:val="28"/>
        </w:rPr>
        <w:t xml:space="preserve">2.5. Количество новых  рабочих мест, созданных и планируемых к созданию в рамках инвестиционного проекта в разрезе профессий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pPr w:horzAnchor="text" w:tblpX="150" w:vertAnchor="text" w:tblpY="1" w:leftFromText="180" w:topFromText="0" w:rightFromText="180" w:bottomFromText="0"/>
        <w:tblW w:w="146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1"/>
        <w:gridCol w:w="1485"/>
        <w:gridCol w:w="1067"/>
        <w:gridCol w:w="1134"/>
        <w:gridCol w:w="1276"/>
        <w:gridCol w:w="1275"/>
        <w:gridCol w:w="1276"/>
        <w:gridCol w:w="1493"/>
        <w:gridCol w:w="1559"/>
        <w:gridCol w:w="1560"/>
      </w:tblGrid>
      <w:tr>
        <w:tblPrEx/>
        <w:trPr>
          <w:trHeight w:val="3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5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предыдущем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8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3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планируемый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планируемый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планируемый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(прогноз)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Merge w:val="continue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5" w:type="dxa"/>
            <w:vMerge w:val="continue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  (отчет)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квартал (оценка)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3" w:type="dxa"/>
            <w:vMerge w:val="continue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6838" w:h="11906" w:orient="landscape"/>
          <w:pgMar w:top="1134" w:right="1134" w:bottom="567" w:left="1134" w:header="709" w:footer="709" w:gutter="0"/>
          <w:cols w:num="1" w:sep="0" w:space="708" w:equalWidth="1"/>
          <w:docGrid w:linePitch="360"/>
        </w:sect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(ежегодная)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Согласовано:                                                                                Утверждаю: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(отраслевое министерство)                                          Генеральный директор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                                       ____________________          _________________________________                                       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 20__ ____г.                                      ___________20__ ___г.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имущества, вновь созданного (приобретенного) с начала реализации инвестиционного проекта и планируемого к созданию (приобретению) для реализации инвестиционного проекта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текущем году и _____________ годах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6"/>
        <w:gridCol w:w="1969"/>
        <w:gridCol w:w="2127"/>
        <w:gridCol w:w="1842"/>
        <w:gridCol w:w="1843"/>
        <w:gridCol w:w="1639"/>
      </w:tblGrid>
      <w:tr>
        <w:tblPrEx/>
        <w:trPr>
          <w:trHeight w:val="10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9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основных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Первоначальная стоимость основных средств, тыс.рублей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 приобретения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ввода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9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приобрете-ния основных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4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Недвижимое имущество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Движимое имущество, принятое на учет до 01.01.2013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Движимое имущество, принятое на учет после 01.01.2013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6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9" w:type="dxa"/>
            <w:textDirection w:val="lrTb"/>
            <w:noWrap w:val="false"/>
          </w:tcPr>
          <w:p>
            <w:pPr>
              <w:pStyle w:val="9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right="111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Приложение №5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о реализации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Плановые показатели реализации инвестиционного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307"/>
        <w:gridCol w:w="1307"/>
        <w:gridCol w:w="1561"/>
        <w:gridCol w:w="1275"/>
        <w:gridCol w:w="1086"/>
        <w:gridCol w:w="6"/>
        <w:gridCol w:w="1301"/>
        <w:gridCol w:w="1435"/>
        <w:gridCol w:w="1179"/>
        <w:gridCol w:w="1308"/>
      </w:tblGrid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04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отчетного параметра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765" w:type="dxa"/>
            <w:textDirection w:val="lrTb"/>
            <w:noWrap w:val="false"/>
          </w:tcPr>
          <w:p>
            <w:pPr>
              <w:pStyle w:val="970"/>
              <w:ind w:firstLine="13"/>
              <w:jc w:val="center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параметра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322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047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tcW w:w="130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ind w:right="-56"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Предыдущие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235" w:type="dxa"/>
            <w:textDirection w:val="lrTb"/>
            <w:noWrap w:val="false"/>
          </w:tcPr>
          <w:p>
            <w:pPr>
              <w:pStyle w:val="970"/>
              <w:jc w:val="center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3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69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7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30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6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5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79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7" w:type="dxa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Объем  инвестиций с начала   реализации проекта, тыс.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6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5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79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  <w:trHeight w:val="60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7" w:type="dxa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новых рабочих  мест с начала реализации проекта, единиц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307"/>
        <w:gridCol w:w="1593"/>
        <w:gridCol w:w="1559"/>
        <w:gridCol w:w="1276"/>
        <w:gridCol w:w="1417"/>
        <w:gridCol w:w="1701"/>
        <w:gridCol w:w="1701"/>
        <w:gridCol w:w="1276"/>
      </w:tblGrid>
      <w:tr>
        <w:tblPrEx/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04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отчетного параметра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1830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параметра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40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046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735" w:type="dxa"/>
            <w:textDirection w:val="lrTb"/>
            <w:noWrap w:val="false"/>
          </w:tcPr>
          <w:p>
            <w:pPr>
              <w:pStyle w:val="970"/>
              <w:jc w:val="center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269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6" w:type="dxa"/>
            <w:vMerge w:val="continue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70"/>
              <w:ind w:firstLine="0"/>
              <w:jc w:val="center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6" w:type="dxa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Объем  инвестиций с начала   реализации проекта, тыс.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  <w:trHeight w:val="60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46" w:type="dxa"/>
            <w:textDirection w:val="lrTb"/>
            <w:noWrap w:val="false"/>
          </w:tcPr>
          <w:p>
            <w:pPr>
              <w:pStyle w:val="970"/>
              <w:ind w:firstLine="0"/>
              <w:spacing w:line="216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новых рабочих  мест с начала реализации проекта, единиц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right"/>
        <w:rPr>
          <w:sz w:val="28"/>
          <w:szCs w:val="28"/>
        </w:rPr>
        <w:sectPr>
          <w:footnotePr/>
          <w:endnotePr/>
          <w:type w:val="nextPage"/>
          <w:pgSz w:w="16838" w:h="11906" w:orient="landscape"/>
          <w:pgMar w:top="1134" w:right="1134" w:bottom="567" w:left="1134" w:header="709" w:footer="709" w:gutter="0"/>
          <w:cols w:num="1" w:sep="0" w:space="708" w:equalWidth="1"/>
          <w:docGrid w:linePitch="360"/>
        </w:sect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Приложение №6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к Договору о реализации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инвестиционного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(форма ежегодная)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Согласовано:                                                                                Утверждаю: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(отраслевое министерство)                                          Генеральный директор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                                       ____________________          _________________________________                                       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 20__ ____г.                                      ___________20__ ___г.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имущества, вновь созданного (приобретенного) в рамках реализации инвестиционного проекта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истекший налоговый период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1498"/>
        <w:gridCol w:w="1479"/>
        <w:gridCol w:w="1214"/>
        <w:gridCol w:w="1418"/>
        <w:gridCol w:w="1195"/>
        <w:gridCol w:w="1498"/>
        <w:gridCol w:w="1417"/>
      </w:tblGrid>
      <w:tr>
        <w:tblPrEx/>
        <w:trPr>
          <w:trHeight w:val="10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 основных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9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Инвентар-ный номер объекта основных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4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принятия к бухгалтерскому учету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5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ввода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Первоначальная стоимость,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64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полезного использования основно-го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4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Недвижимое имущество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9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4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5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textDirection w:val="lrTb"/>
            <w:noWrap w:val="false"/>
          </w:tcPr>
          <w:p>
            <w:pPr>
              <w:pStyle w:val="9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Движимое имущество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9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4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5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8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ind w:firstLine="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</w:pPr>
      <w:r/>
      <w:r/>
    </w:p>
    <w:p>
      <w:pPr>
        <w:rPr>
          <w:sz w:val="28"/>
        </w:rPr>
      </w:pPr>
      <w:r>
        <w:br w:type="page" w:clear="all"/>
      </w:r>
      <w:r>
        <w:rPr>
          <w:sz w:val="28"/>
        </w:rPr>
      </w:r>
      <w:r>
        <w:rPr>
          <w:sz w:val="28"/>
        </w:rPr>
      </w:r>
    </w:p>
    <w:p>
      <w:pPr>
        <w:ind w:firstLine="5245"/>
        <w:tabs>
          <w:tab w:val="left" w:pos="5387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Приложение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left="528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(справочное)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left="5280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заключению договора о реализации инвестиционного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4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Реквизиты органов и должностных лиц, ответственных за предоставление государственной услуги по заключению договора о реализации инвестиционного проекта, и органов и должностных лиц, осуществляющих контроль за ее предоставлением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Министерство экономики Республики Татарстан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86"/>
        <w:gridCol w:w="1829"/>
        <w:gridCol w:w="3522"/>
      </w:tblGrid>
      <w:tr>
        <w:tblPrEx/>
        <w:trPr>
          <w:trHeight w:val="488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адрес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Премьер-министра Республики Татарстан - министр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63"/>
              <w:widowControl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Шагиахметов Мидхат Рафкатович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524-91-11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me.rt@tatar.ru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</w:t>
            </w:r>
            <w:r>
              <w:rPr>
                <w:sz w:val="28"/>
                <w:szCs w:val="28"/>
              </w:rPr>
              <w:t xml:space="preserve"> Динар Рафикович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524-91-03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Shakirov.Dinar@tatar.ru</w:t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 xml:space="preserve">инвестиционной политики и экономического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анализа проектов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Гареев Олег Рависович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524-91-34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hyperlink r:id="rId25" w:tooltip="mailto:O.Gareev@tatar.ru" w:history="1">
              <w:r>
                <w:rPr>
                  <w:rStyle w:val="946"/>
                  <w:rFonts w:ascii="Times New Roman" w:hAnsi="Times New Roman" w:eastAsia="Times New Roman" w:cs="Times New Roman"/>
                  <w:color w:val="3c4052"/>
                  <w:sz w:val="28"/>
                  <w:szCs w:val="28"/>
                  <w:highlight w:val="white"/>
                  <w:u w:val="none"/>
                </w:rPr>
                <w:t xml:space="preserve">O.Gareev@tatar.ru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советник о</w:t>
            </w:r>
            <w:r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 xml:space="preserve">инвестиционной политики и экономического анализа проектов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Гузель Рафгатовна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524-90-24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hyperlink r:id="rId26" w:tooltip="mailto:Guzel.Ibragimova@tatar.ru" w:history="1">
              <w:r>
                <w:rPr>
                  <w:rStyle w:val="946"/>
                  <w:color w:val="auto"/>
                  <w:sz w:val="28"/>
                  <w:szCs w:val="28"/>
                </w:rPr>
                <w:t xml:space="preserve">Guzel.Ibragimova@tatar.ru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6"/>
        </w:trPr>
        <w:tc>
          <w:tcPr>
            <w:tcW w:w="4786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Ведущий с</w:t>
            </w:r>
            <w:r>
              <w:rPr>
                <w:sz w:val="28"/>
                <w:szCs w:val="28"/>
              </w:rPr>
              <w:t xml:space="preserve">пециалист отдела делопроизводства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</w:rPr>
              <w:t xml:space="preserve">Абдрахманова Лилия Рифгатовна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524-91-21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35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hyperlink r:id="rId27" w:tooltip="mailto:Liliya.Abdrahmanova@tatar.ru" w:history="1">
              <w:r>
                <w:rPr>
                  <w:rStyle w:val="946"/>
                  <w:rFonts w:ascii="Times New Roman" w:hAnsi="Times New Roman" w:eastAsia="Times New Roman" w:cs="Times New Roman"/>
                  <w:color w:val="3c4052"/>
                  <w:sz w:val="28"/>
                  <w:szCs w:val="28"/>
                  <w:highlight w:val="white"/>
                  <w:u w:val="none"/>
                </w:rPr>
                <w:t xml:space="preserve">Liliya.Abdrahmanova@tatar.ru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Аппарат Кабинета Министров 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28"/>
        <w:gridCol w:w="1559"/>
        <w:gridCol w:w="3650"/>
      </w:tblGrid>
      <w:tr>
        <w:tblPrEx/>
        <w:trPr>
          <w:trHeight w:val="488"/>
        </w:trPr>
        <w:tc>
          <w:tcPr>
            <w:tcW w:w="492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65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адрес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промышленности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Фасхиев Герман Николаевич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264-76-74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65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hyperlink r:id="rId28" w:tooltip="mailto:German.Faskhiev@tatar.ru" w:history="1">
              <w:r>
                <w:rPr>
                  <w:rStyle w:val="946"/>
                  <w:color w:val="auto"/>
                  <w:sz w:val="28"/>
                  <w:szCs w:val="28"/>
                </w:rPr>
                <w:t xml:space="preserve">German.Faskhiev@tatar.ru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42"/>
      </w:pPr>
      <w:r/>
      <w:r/>
    </w:p>
    <w:sectPr>
      <w:footnotePr/>
      <w:endnotePr/>
      <w:type w:val="nextPage"/>
      <w:pgSz w:w="11906" w:h="16838" w:orient="portrait"/>
      <w:pgMar w:top="1134" w:right="567" w:bottom="1134" w:left="1134" w:header="28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SimSun">
    <w:panose1 w:val="02010609060101010101"/>
  </w:font>
  <w:font w:name="Courier New">
    <w:panose1 w:val="02070309020205020404"/>
  </w:font>
  <w:font w:name="Tahoma">
    <w:panose1 w:val="020B0604030504040204"/>
  </w:font>
  <w:font w:name="SL_Times New Roman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rPr>
        <w:rStyle w:val="969"/>
      </w:rPr>
      <w:framePr w:wrap="around" w:vAnchor="text" w:hAnchor="margin" w:xAlign="right" w:y="1"/>
    </w:pPr>
    <w:r>
      <w:rPr>
        <w:rStyle w:val="969"/>
      </w:rPr>
      <w:fldChar w:fldCharType="begin"/>
    </w:r>
    <w:r>
      <w:rPr>
        <w:rStyle w:val="969"/>
      </w:rPr>
      <w:instrText xml:space="preserve">PAGE  </w:instrText>
    </w:r>
    <w:r>
      <w:rPr>
        <w:rStyle w:val="969"/>
      </w:rPr>
      <w:fldChar w:fldCharType="separate"/>
    </w:r>
    <w:r>
      <w:rPr>
        <w:rStyle w:val="969"/>
      </w:rPr>
      <w:t xml:space="preserve">52</w:t>
    </w:r>
    <w:r>
      <w:rPr>
        <w:rStyle w:val="969"/>
      </w:rPr>
      <w:fldChar w:fldCharType="end"/>
    </w:r>
    <w:r>
      <w:rPr>
        <w:rStyle w:val="969"/>
      </w:rPr>
    </w:r>
    <w:r>
      <w:rPr>
        <w:rStyle w:val="969"/>
      </w:rPr>
    </w:r>
  </w:p>
  <w:p>
    <w:pPr>
      <w:pStyle w:val="941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rPr>
        <w:rStyle w:val="969"/>
      </w:rPr>
      <w:framePr w:wrap="around" w:vAnchor="text" w:hAnchor="margin" w:xAlign="right" w:y="1"/>
    </w:pPr>
    <w:r>
      <w:rPr>
        <w:rStyle w:val="969"/>
      </w:rPr>
      <w:fldChar w:fldCharType="begin"/>
    </w:r>
    <w:r>
      <w:rPr>
        <w:rStyle w:val="969"/>
      </w:rPr>
      <w:instrText xml:space="preserve">PAGE  </w:instrText>
    </w:r>
    <w:r>
      <w:rPr>
        <w:rStyle w:val="969"/>
      </w:rPr>
      <w:fldChar w:fldCharType="end"/>
    </w:r>
    <w:r>
      <w:rPr>
        <w:rStyle w:val="969"/>
      </w:rPr>
    </w:r>
    <w:r>
      <w:rPr>
        <w:rStyle w:val="969"/>
      </w:rPr>
    </w:r>
  </w:p>
  <w:p>
    <w:pPr>
      <w:pStyle w:val="941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rPr>
        <w:rStyle w:val="969"/>
      </w:rPr>
      <w:framePr w:wrap="around" w:vAnchor="text" w:hAnchor="margin" w:xAlign="center" w:y="1"/>
    </w:pPr>
    <w:r>
      <w:rPr>
        <w:rStyle w:val="969"/>
      </w:rPr>
      <w:fldChar w:fldCharType="begin"/>
    </w:r>
    <w:r>
      <w:rPr>
        <w:rStyle w:val="969"/>
      </w:rPr>
      <w:instrText xml:space="preserve">PAGE  </w:instrText>
    </w:r>
    <w:r>
      <w:rPr>
        <w:rStyle w:val="969"/>
      </w:rPr>
      <w:fldChar w:fldCharType="separate"/>
    </w:r>
    <w:r>
      <w:rPr>
        <w:rStyle w:val="969"/>
      </w:rPr>
      <w:t xml:space="preserve">1</w:t>
    </w:r>
    <w:r>
      <w:rPr>
        <w:rStyle w:val="969"/>
      </w:rPr>
      <w:fldChar w:fldCharType="end"/>
    </w:r>
    <w:r>
      <w:rPr>
        <w:rStyle w:val="969"/>
      </w:rPr>
    </w:r>
    <w:r>
      <w:rPr>
        <w:rStyle w:val="969"/>
      </w:rPr>
    </w:r>
  </w:p>
  <w:p>
    <w:pPr>
      <w:pStyle w:val="9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4" w:hanging="1065"/>
        <w:tabs>
          <w:tab w:val="num" w:pos="177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6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960" w:hanging="360"/>
        <w:tabs>
          <w:tab w:val="num" w:pos="96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80" w:hanging="360"/>
        <w:tabs>
          <w:tab w:val="num" w:pos="168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00" w:hanging="360"/>
        <w:tabs>
          <w:tab w:val="num" w:pos="24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20" w:hanging="360"/>
        <w:tabs>
          <w:tab w:val="num" w:pos="31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40" w:hanging="360"/>
        <w:tabs>
          <w:tab w:val="num" w:pos="384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60" w:hanging="360"/>
        <w:tabs>
          <w:tab w:val="num" w:pos="45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80" w:hanging="360"/>
        <w:tabs>
          <w:tab w:val="num" w:pos="52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00" w:hanging="360"/>
        <w:tabs>
          <w:tab w:val="num" w:pos="600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20" w:hanging="360"/>
        <w:tabs>
          <w:tab w:val="num" w:pos="672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9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Глава %1."/>
      <w:lvlJc w:val="left"/>
      <w:pPr>
        <w:ind w:left="36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  <w:tabs>
          <w:tab w:val="num" w:pos="14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  <w:tabs>
          <w:tab w:val="num" w:pos="214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  <w:tabs>
          <w:tab w:val="num" w:pos="286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  <w:tabs>
          <w:tab w:val="num" w:pos="358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  <w:tabs>
          <w:tab w:val="num" w:pos="430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  <w:tabs>
          <w:tab w:val="num" w:pos="502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  <w:tabs>
          <w:tab w:val="num" w:pos="574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  <w:tabs>
          <w:tab w:val="num" w:pos="646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  <w:tabs>
          <w:tab w:val="num" w:pos="7188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1"/>
  </w:num>
  <w:num w:numId="3">
    <w:abstractNumId w:val="5"/>
  </w:num>
  <w:num w:numId="4">
    <w:abstractNumId w:val="18"/>
  </w:num>
  <w:num w:numId="5">
    <w:abstractNumId w:val="13"/>
  </w:num>
  <w:num w:numId="6">
    <w:abstractNumId w:val="25"/>
  </w:num>
  <w:num w:numId="7">
    <w:abstractNumId w:val="24"/>
  </w:num>
  <w:num w:numId="8">
    <w:abstractNumId w:val="12"/>
  </w:num>
  <w:num w:numId="9">
    <w:abstractNumId w:val="4"/>
  </w:num>
  <w:num w:numId="10">
    <w:abstractNumId w:val="10"/>
  </w:num>
  <w:num w:numId="11">
    <w:abstractNumId w:val="16"/>
  </w:num>
  <w:num w:numId="12">
    <w:abstractNumId w:val="1"/>
  </w:num>
  <w:num w:numId="13">
    <w:abstractNumId w:val="3"/>
  </w:num>
  <w:num w:numId="14">
    <w:abstractNumId w:val="22"/>
  </w:num>
  <w:num w:numId="15">
    <w:abstractNumId w:val="23"/>
  </w:num>
  <w:num w:numId="16">
    <w:abstractNumId w:val="9"/>
  </w:num>
  <w:num w:numId="17">
    <w:abstractNumId w:val="6"/>
  </w:num>
  <w:num w:numId="18">
    <w:abstractNumId w:val="0"/>
    <w:lvlOverride w:ilvl="0">
      <w:lvl w:ilvl="0">
        <w:start w:val="1"/>
        <w:numFmt w:val="bullet"/>
        <w:isLgl w:val="false"/>
        <w:suff w:val="tab"/>
        <w:lvlText w:val=""/>
        <w:legacy w:legacy="1" w:legacyIndent="283" w:legacySpace="0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19">
    <w:abstractNumId w:val="20"/>
  </w:num>
  <w:num w:numId="20">
    <w:abstractNumId w:val="26"/>
  </w:num>
  <w:num w:numId="21">
    <w:abstractNumId w:val="19"/>
  </w:num>
  <w:num w:numId="22">
    <w:abstractNumId w:val="7"/>
  </w:num>
  <w:num w:numId="23">
    <w:abstractNumId w:val="8"/>
  </w:num>
  <w:num w:numId="24">
    <w:abstractNumId w:val="15"/>
  </w:num>
  <w:num w:numId="25">
    <w:abstractNumId w:val="2"/>
  </w:num>
  <w:num w:numId="26">
    <w:abstractNumId w:val="14"/>
  </w:num>
  <w:num w:numId="27">
    <w:abstractNumId w:val="2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8">
    <w:name w:val="Heading 1 Char"/>
    <w:basedOn w:val="937"/>
    <w:link w:val="928"/>
    <w:uiPriority w:val="9"/>
    <w:rPr>
      <w:rFonts w:ascii="Arial" w:hAnsi="Arial" w:eastAsia="Arial" w:cs="Arial"/>
      <w:sz w:val="40"/>
      <w:szCs w:val="40"/>
    </w:rPr>
  </w:style>
  <w:style w:type="character" w:styleId="769">
    <w:name w:val="Heading 2 Char"/>
    <w:basedOn w:val="937"/>
    <w:link w:val="929"/>
    <w:uiPriority w:val="9"/>
    <w:rPr>
      <w:rFonts w:ascii="Arial" w:hAnsi="Arial" w:eastAsia="Arial" w:cs="Arial"/>
      <w:sz w:val="34"/>
    </w:rPr>
  </w:style>
  <w:style w:type="character" w:styleId="770">
    <w:name w:val="Heading 3 Char"/>
    <w:basedOn w:val="937"/>
    <w:link w:val="930"/>
    <w:uiPriority w:val="9"/>
    <w:rPr>
      <w:rFonts w:ascii="Arial" w:hAnsi="Arial" w:eastAsia="Arial" w:cs="Arial"/>
      <w:sz w:val="30"/>
      <w:szCs w:val="30"/>
    </w:rPr>
  </w:style>
  <w:style w:type="character" w:styleId="771">
    <w:name w:val="Heading 4 Char"/>
    <w:basedOn w:val="937"/>
    <w:link w:val="931"/>
    <w:uiPriority w:val="9"/>
    <w:rPr>
      <w:rFonts w:ascii="Arial" w:hAnsi="Arial" w:eastAsia="Arial" w:cs="Arial"/>
      <w:b/>
      <w:bCs/>
      <w:sz w:val="26"/>
      <w:szCs w:val="26"/>
    </w:rPr>
  </w:style>
  <w:style w:type="character" w:styleId="772">
    <w:name w:val="Heading 5 Char"/>
    <w:basedOn w:val="937"/>
    <w:link w:val="932"/>
    <w:uiPriority w:val="9"/>
    <w:rPr>
      <w:rFonts w:ascii="Arial" w:hAnsi="Arial" w:eastAsia="Arial" w:cs="Arial"/>
      <w:b/>
      <w:bCs/>
      <w:sz w:val="24"/>
      <w:szCs w:val="24"/>
    </w:rPr>
  </w:style>
  <w:style w:type="character" w:styleId="773">
    <w:name w:val="Heading 6 Char"/>
    <w:basedOn w:val="937"/>
    <w:link w:val="933"/>
    <w:uiPriority w:val="9"/>
    <w:rPr>
      <w:rFonts w:ascii="Arial" w:hAnsi="Arial" w:eastAsia="Arial" w:cs="Arial"/>
      <w:b/>
      <w:bCs/>
      <w:sz w:val="22"/>
      <w:szCs w:val="22"/>
    </w:rPr>
  </w:style>
  <w:style w:type="character" w:styleId="774">
    <w:name w:val="Heading 7 Char"/>
    <w:basedOn w:val="937"/>
    <w:link w:val="9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8 Char"/>
    <w:basedOn w:val="937"/>
    <w:link w:val="935"/>
    <w:uiPriority w:val="9"/>
    <w:rPr>
      <w:rFonts w:ascii="Arial" w:hAnsi="Arial" w:eastAsia="Arial" w:cs="Arial"/>
      <w:i/>
      <w:iCs/>
      <w:sz w:val="22"/>
      <w:szCs w:val="22"/>
    </w:rPr>
  </w:style>
  <w:style w:type="character" w:styleId="776">
    <w:name w:val="Heading 9 Char"/>
    <w:basedOn w:val="937"/>
    <w:link w:val="936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No Spacing"/>
    <w:uiPriority w:val="1"/>
    <w:qFormat/>
    <w:pPr>
      <w:spacing w:before="0" w:after="0" w:line="240" w:lineRule="auto"/>
    </w:pPr>
  </w:style>
  <w:style w:type="paragraph" w:styleId="778">
    <w:name w:val="Title"/>
    <w:basedOn w:val="927"/>
    <w:next w:val="927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basedOn w:val="937"/>
    <w:link w:val="778"/>
    <w:uiPriority w:val="10"/>
    <w:rPr>
      <w:sz w:val="48"/>
      <w:szCs w:val="48"/>
    </w:rPr>
  </w:style>
  <w:style w:type="paragraph" w:styleId="780">
    <w:name w:val="Subtitle"/>
    <w:basedOn w:val="927"/>
    <w:next w:val="927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basedOn w:val="937"/>
    <w:link w:val="780"/>
    <w:uiPriority w:val="11"/>
    <w:rPr>
      <w:sz w:val="24"/>
      <w:szCs w:val="24"/>
    </w:rPr>
  </w:style>
  <w:style w:type="paragraph" w:styleId="782">
    <w:name w:val="Quote"/>
    <w:basedOn w:val="927"/>
    <w:next w:val="927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27"/>
    <w:next w:val="927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character" w:styleId="786">
    <w:name w:val="Header Char"/>
    <w:basedOn w:val="937"/>
    <w:link w:val="940"/>
    <w:uiPriority w:val="99"/>
  </w:style>
  <w:style w:type="character" w:styleId="787">
    <w:name w:val="Footer Char"/>
    <w:basedOn w:val="937"/>
    <w:link w:val="941"/>
    <w:uiPriority w:val="99"/>
  </w:style>
  <w:style w:type="character" w:styleId="788">
    <w:name w:val="Caption Char"/>
    <w:basedOn w:val="974"/>
    <w:link w:val="941"/>
    <w:uiPriority w:val="99"/>
  </w:style>
  <w:style w:type="table" w:styleId="789">
    <w:name w:val="Table Grid Light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Plain Table 1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2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3">
    <w:name w:val="Plain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Plain Table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5">
    <w:name w:val="Grid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>
    <w:name w:val="Grid Table 4 - Accent 1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8">
    <w:name w:val="Grid Table 4 - Accent 2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Grid Table 4 - Accent 3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0">
    <w:name w:val="Grid Table 4 - Accent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Grid Table 4 - Accent 5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2">
    <w:name w:val="Grid Table 4 - Accent 6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3">
    <w:name w:val="Grid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0">
    <w:name w:val="Grid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1">
    <w:name w:val="Grid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2">
    <w:name w:val="Grid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3">
    <w:name w:val="Grid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4">
    <w:name w:val="Grid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5">
    <w:name w:val="Grid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2">
    <w:name w:val="List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3">
    <w:name w:val="List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4">
    <w:name w:val="List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5">
    <w:name w:val="List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6">
    <w:name w:val="List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7">
    <w:name w:val="List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8">
    <w:name w:val="List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0">
    <w:name w:val="List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1">
    <w:name w:val="List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List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3">
    <w:name w:val="List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List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5">
    <w:name w:val="List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6">
    <w:name w:val="List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7">
    <w:name w:val="List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8">
    <w:name w:val="List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9">
    <w:name w:val="List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0">
    <w:name w:val="List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1">
    <w:name w:val="List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2">
    <w:name w:val="List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3">
    <w:name w:val="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 &amp; 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1">
    <w:name w:val="Bordered &amp; 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2">
    <w:name w:val="Bordered &amp; 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3">
    <w:name w:val="Bordered &amp; 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4">
    <w:name w:val="Bordered &amp; 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5">
    <w:name w:val="Bordered &amp; 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6">
    <w:name w:val="Bordered &amp; 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7">
    <w:name w:val="Bordered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8">
    <w:name w:val="Bordered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9">
    <w:name w:val="Bordered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0">
    <w:name w:val="Bordered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1">
    <w:name w:val="Bordered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2">
    <w:name w:val="Bordered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3">
    <w:name w:val="Bordered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4">
    <w:name w:val="Footnote Text Char"/>
    <w:link w:val="977"/>
    <w:uiPriority w:val="99"/>
    <w:rPr>
      <w:sz w:val="18"/>
    </w:rPr>
  </w:style>
  <w:style w:type="character" w:styleId="915">
    <w:name w:val="Endnote Text Char"/>
    <w:link w:val="980"/>
    <w:uiPriority w:val="99"/>
    <w:rPr>
      <w:sz w:val="20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</w:style>
  <w:style w:type="paragraph" w:styleId="928">
    <w:name w:val="Heading 1"/>
    <w:basedOn w:val="927"/>
    <w:next w:val="927"/>
    <w:qFormat/>
    <w:pPr>
      <w:jc w:val="center"/>
      <w:keepNext/>
      <w:spacing w:line="300" w:lineRule="exact"/>
      <w:outlineLvl w:val="0"/>
    </w:pPr>
    <w:rPr>
      <w:rFonts w:ascii="SL_Times New Roman" w:hAnsi="SL_Times New Roman"/>
      <w:b/>
      <w:sz w:val="24"/>
    </w:rPr>
  </w:style>
  <w:style w:type="paragraph" w:styleId="929">
    <w:name w:val="Heading 2"/>
    <w:basedOn w:val="927"/>
    <w:next w:val="927"/>
    <w:link w:val="951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30">
    <w:name w:val="Heading 3"/>
    <w:basedOn w:val="927"/>
    <w:next w:val="927"/>
    <w:link w:val="954"/>
    <w:qFormat/>
    <w:pPr>
      <w:keepNext/>
      <w:outlineLvl w:val="2"/>
    </w:pPr>
    <w:rPr>
      <w:sz w:val="28"/>
      <w:lang w:val="en-US" w:eastAsia="zh-CN"/>
    </w:rPr>
  </w:style>
  <w:style w:type="paragraph" w:styleId="931">
    <w:name w:val="Heading 4"/>
    <w:basedOn w:val="927"/>
    <w:next w:val="927"/>
    <w:link w:val="953"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932">
    <w:name w:val="Heading 5"/>
    <w:basedOn w:val="927"/>
    <w:next w:val="927"/>
    <w:link w:val="955"/>
    <w:qFormat/>
    <w:pPr>
      <w:keepNext/>
      <w:outlineLvl w:val="4"/>
    </w:pPr>
    <w:rPr>
      <w:sz w:val="24"/>
      <w:lang w:eastAsia="zh-CN"/>
    </w:rPr>
  </w:style>
  <w:style w:type="paragraph" w:styleId="933">
    <w:name w:val="Heading 6"/>
    <w:basedOn w:val="927"/>
    <w:next w:val="927"/>
    <w:link w:val="956"/>
    <w:qFormat/>
    <w:pPr>
      <w:jc w:val="center"/>
      <w:keepNext/>
      <w:outlineLvl w:val="5"/>
    </w:pPr>
    <w:rPr>
      <w:b/>
      <w:sz w:val="24"/>
      <w:lang w:eastAsia="zh-CN"/>
    </w:rPr>
  </w:style>
  <w:style w:type="paragraph" w:styleId="934">
    <w:name w:val="Heading 7"/>
    <w:basedOn w:val="927"/>
    <w:next w:val="927"/>
    <w:link w:val="957"/>
    <w:qFormat/>
    <w:pPr>
      <w:jc w:val="both"/>
      <w:keepNext/>
      <w:outlineLvl w:val="6"/>
    </w:pPr>
    <w:rPr>
      <w:sz w:val="24"/>
      <w:lang w:eastAsia="zh-CN"/>
    </w:rPr>
  </w:style>
  <w:style w:type="paragraph" w:styleId="935">
    <w:name w:val="Heading 8"/>
    <w:basedOn w:val="927"/>
    <w:next w:val="927"/>
    <w:link w:val="958"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936">
    <w:name w:val="Heading 9"/>
    <w:basedOn w:val="927"/>
    <w:next w:val="927"/>
    <w:link w:val="959"/>
    <w:unhideWhenUsed/>
    <w:qFormat/>
    <w:pPr>
      <w:keepLines/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37" w:default="1">
    <w:name w:val="Default Paragraph Font"/>
    <w:uiPriority w:val="1"/>
    <w:semiHidden/>
    <w:unhideWhenUsed/>
  </w:style>
  <w:style w:type="table" w:styleId="9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9" w:default="1">
    <w:name w:val="No List"/>
    <w:uiPriority w:val="99"/>
    <w:semiHidden/>
    <w:unhideWhenUsed/>
  </w:style>
  <w:style w:type="paragraph" w:styleId="940">
    <w:name w:val="Header"/>
    <w:basedOn w:val="927"/>
    <w:link w:val="949"/>
    <w:pPr>
      <w:tabs>
        <w:tab w:val="center" w:pos="4536" w:leader="none"/>
        <w:tab w:val="right" w:pos="9072" w:leader="none"/>
      </w:tabs>
    </w:pPr>
  </w:style>
  <w:style w:type="paragraph" w:styleId="941">
    <w:name w:val="Footer"/>
    <w:basedOn w:val="927"/>
    <w:pPr>
      <w:tabs>
        <w:tab w:val="center" w:pos="4536" w:leader="none"/>
        <w:tab w:val="right" w:pos="9072" w:leader="none"/>
      </w:tabs>
    </w:pPr>
  </w:style>
  <w:style w:type="paragraph" w:styleId="942" w:customStyle="1">
    <w:name w:val="Ñòèëü1"/>
    <w:basedOn w:val="927"/>
    <w:link w:val="944"/>
    <w:pPr>
      <w:spacing w:line="288" w:lineRule="auto"/>
    </w:pPr>
    <w:rPr>
      <w:sz w:val="28"/>
    </w:rPr>
  </w:style>
  <w:style w:type="paragraph" w:styleId="943" w:customStyle="1">
    <w:name w:val="МФ РТ"/>
    <w:basedOn w:val="942"/>
    <w:link w:val="945"/>
    <w:qFormat/>
    <w:pPr>
      <w:ind w:right="142" w:firstLine="709"/>
    </w:pPr>
    <w:rPr>
      <w:lang w:val="en-US"/>
    </w:rPr>
  </w:style>
  <w:style w:type="character" w:styleId="944" w:customStyle="1">
    <w:name w:val="Ñòèëü1 Знак"/>
    <w:basedOn w:val="937"/>
    <w:link w:val="942"/>
    <w:rPr>
      <w:sz w:val="28"/>
    </w:rPr>
  </w:style>
  <w:style w:type="character" w:styleId="945" w:customStyle="1">
    <w:name w:val="МФ РТ Знак"/>
    <w:basedOn w:val="944"/>
    <w:link w:val="943"/>
    <w:rPr>
      <w:sz w:val="28"/>
      <w:lang w:val="en-US"/>
    </w:rPr>
  </w:style>
  <w:style w:type="character" w:styleId="946">
    <w:name w:val="Hyperlink"/>
    <w:basedOn w:val="937"/>
    <w:rPr>
      <w:color w:val="0000ff"/>
      <w:u w:val="single"/>
    </w:rPr>
  </w:style>
  <w:style w:type="paragraph" w:styleId="947">
    <w:name w:val="Balloon Text"/>
    <w:basedOn w:val="927"/>
    <w:link w:val="948"/>
    <w:rPr>
      <w:rFonts w:ascii="Tahoma" w:hAnsi="Tahoma" w:cs="Tahoma"/>
      <w:sz w:val="16"/>
      <w:szCs w:val="16"/>
    </w:rPr>
  </w:style>
  <w:style w:type="character" w:styleId="948" w:customStyle="1">
    <w:name w:val="Текст выноски Знак"/>
    <w:basedOn w:val="937"/>
    <w:link w:val="947"/>
    <w:uiPriority w:val="99"/>
    <w:rPr>
      <w:rFonts w:ascii="Tahoma" w:hAnsi="Tahoma" w:cs="Tahoma"/>
      <w:sz w:val="16"/>
      <w:szCs w:val="16"/>
    </w:rPr>
  </w:style>
  <w:style w:type="character" w:styleId="949" w:customStyle="1">
    <w:name w:val="Верхний колонтитул Знак"/>
    <w:basedOn w:val="937"/>
    <w:link w:val="940"/>
    <w:uiPriority w:val="99"/>
  </w:style>
  <w:style w:type="table" w:styleId="950">
    <w:name w:val="Table Grid"/>
    <w:basedOn w:val="93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1" w:customStyle="1">
    <w:name w:val="Заголовок 2 Знак"/>
    <w:basedOn w:val="937"/>
    <w:link w:val="92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52" w:customStyle="1">
    <w:name w:val="Обычный1"/>
    <w:pPr>
      <w:spacing w:before="100" w:after="100"/>
    </w:pPr>
    <w:rPr>
      <w:sz w:val="24"/>
    </w:rPr>
  </w:style>
  <w:style w:type="character" w:styleId="953" w:customStyle="1">
    <w:name w:val="Заголовок 4 Знак"/>
    <w:basedOn w:val="937"/>
    <w:link w:val="931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954" w:customStyle="1">
    <w:name w:val="Заголовок 3 Знак"/>
    <w:basedOn w:val="937"/>
    <w:link w:val="930"/>
    <w:rPr>
      <w:sz w:val="28"/>
      <w:lang w:val="en-US" w:eastAsia="zh-CN"/>
    </w:rPr>
  </w:style>
  <w:style w:type="character" w:styleId="955" w:customStyle="1">
    <w:name w:val="Заголовок 5 Знак"/>
    <w:basedOn w:val="937"/>
    <w:link w:val="932"/>
    <w:rPr>
      <w:sz w:val="24"/>
      <w:lang w:eastAsia="zh-CN"/>
    </w:rPr>
  </w:style>
  <w:style w:type="character" w:styleId="956" w:customStyle="1">
    <w:name w:val="Заголовок 6 Знак"/>
    <w:basedOn w:val="937"/>
    <w:link w:val="933"/>
    <w:rPr>
      <w:b/>
      <w:sz w:val="24"/>
      <w:lang w:eastAsia="zh-CN"/>
    </w:rPr>
  </w:style>
  <w:style w:type="character" w:styleId="957" w:customStyle="1">
    <w:name w:val="Заголовок 7 Знак"/>
    <w:basedOn w:val="937"/>
    <w:link w:val="934"/>
    <w:rPr>
      <w:sz w:val="24"/>
      <w:lang w:eastAsia="zh-CN"/>
    </w:rPr>
  </w:style>
  <w:style w:type="character" w:styleId="958" w:customStyle="1">
    <w:name w:val="Заголовок 8 Знак"/>
    <w:basedOn w:val="937"/>
    <w:link w:val="935"/>
    <w:rPr>
      <w:rFonts w:asciiTheme="majorHAnsi" w:hAnsiTheme="majorHAnsi" w:eastAsiaTheme="majorEastAsia" w:cstheme="majorBidi"/>
      <w:color w:val="404040" w:themeColor="text1" w:themeTint="BF"/>
    </w:rPr>
  </w:style>
  <w:style w:type="character" w:styleId="959" w:customStyle="1">
    <w:name w:val="Заголовок 9 Знак"/>
    <w:basedOn w:val="937"/>
    <w:link w:val="93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960">
    <w:name w:val="List Paragraph"/>
    <w:basedOn w:val="927"/>
    <w:uiPriority w:val="34"/>
    <w:qFormat/>
    <w:pPr>
      <w:contextualSpacing/>
      <w:ind w:left="720"/>
    </w:pPr>
  </w:style>
  <w:style w:type="paragraph" w:styleId="961" w:customStyle="1">
    <w:name w:val="ConsPlusNonformat"/>
    <w:uiPriority w:val="99"/>
    <w:pPr>
      <w:widowControl w:val="off"/>
    </w:pPr>
    <w:rPr>
      <w:rFonts w:ascii="Courier New" w:hAnsi="Courier New"/>
    </w:rPr>
  </w:style>
  <w:style w:type="paragraph" w:styleId="962" w:customStyle="1">
    <w:name w:val="Заголовок 11"/>
    <w:basedOn w:val="952"/>
    <w:next w:val="952"/>
    <w:pPr>
      <w:jc w:val="center"/>
      <w:keepNext/>
      <w:spacing w:before="0" w:after="0"/>
      <w:outlineLvl w:val="0"/>
    </w:pPr>
  </w:style>
  <w:style w:type="paragraph" w:styleId="963" w:customStyle="1">
    <w:name w:val="???????"/>
    <w:pPr>
      <w:widowControl w:val="off"/>
    </w:pPr>
    <w:rPr>
      <w:sz w:val="28"/>
    </w:rPr>
  </w:style>
  <w:style w:type="paragraph" w:styleId="964" w:customStyle="1">
    <w:name w:val="ConsPlusCell"/>
    <w:pPr>
      <w:widowControl w:val="off"/>
    </w:pPr>
    <w:rPr>
      <w:rFonts w:ascii="Arial" w:hAnsi="Arial" w:cs="Arial"/>
    </w:rPr>
  </w:style>
  <w:style w:type="paragraph" w:styleId="965">
    <w:name w:val="Document Map"/>
    <w:basedOn w:val="927"/>
    <w:link w:val="966"/>
    <w:semiHidden/>
    <w:pPr>
      <w:shd w:val="clear" w:color="auto" w:fill="000080"/>
    </w:pPr>
    <w:rPr>
      <w:rFonts w:ascii="Tahoma" w:hAnsi="Tahoma" w:cs="Tahoma"/>
    </w:rPr>
  </w:style>
  <w:style w:type="character" w:styleId="966" w:customStyle="1">
    <w:name w:val="Схема документа Знак"/>
    <w:basedOn w:val="937"/>
    <w:link w:val="965"/>
    <w:semiHidden/>
    <w:rPr>
      <w:rFonts w:ascii="Tahoma" w:hAnsi="Tahoma" w:cs="Tahoma"/>
      <w:shd w:val="clear" w:color="auto" w:fill="000080"/>
    </w:rPr>
  </w:style>
  <w:style w:type="paragraph" w:styleId="967">
    <w:name w:val="Body Text"/>
    <w:basedOn w:val="927"/>
    <w:link w:val="968"/>
    <w:pPr>
      <w:jc w:val="both"/>
    </w:pPr>
    <w:rPr>
      <w:bCs/>
      <w:sz w:val="24"/>
      <w:szCs w:val="24"/>
    </w:rPr>
  </w:style>
  <w:style w:type="character" w:styleId="968" w:customStyle="1">
    <w:name w:val="Основной текст Знак"/>
    <w:basedOn w:val="937"/>
    <w:link w:val="967"/>
    <w:rPr>
      <w:bCs/>
      <w:sz w:val="24"/>
      <w:szCs w:val="24"/>
    </w:rPr>
  </w:style>
  <w:style w:type="character" w:styleId="969">
    <w:name w:val="page number"/>
    <w:basedOn w:val="937"/>
  </w:style>
  <w:style w:type="paragraph" w:styleId="970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971">
    <w:name w:val="Body Text Indent"/>
    <w:basedOn w:val="927"/>
    <w:link w:val="972"/>
    <w:pPr>
      <w:ind w:left="283"/>
      <w:spacing w:after="120"/>
    </w:pPr>
    <w:rPr>
      <w:sz w:val="24"/>
      <w:szCs w:val="24"/>
    </w:rPr>
  </w:style>
  <w:style w:type="character" w:styleId="972" w:customStyle="1">
    <w:name w:val="Основной текст с отступом Знак"/>
    <w:basedOn w:val="937"/>
    <w:link w:val="971"/>
    <w:rPr>
      <w:sz w:val="24"/>
      <w:szCs w:val="24"/>
    </w:rPr>
  </w:style>
  <w:style w:type="paragraph" w:styleId="973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74">
    <w:name w:val="Caption"/>
    <w:basedOn w:val="927"/>
    <w:qFormat/>
    <w:pPr>
      <w:jc w:val="center"/>
    </w:pPr>
    <w:rPr>
      <w:b/>
      <w:sz w:val="24"/>
    </w:rPr>
  </w:style>
  <w:style w:type="paragraph" w:styleId="975" w:customStyle="1">
    <w:name w:val="Default Zayavka"/>
    <w:basedOn w:val="927"/>
    <w:link w:val="976"/>
    <w:qFormat/>
    <w:pPr>
      <w:jc w:val="both"/>
    </w:pPr>
    <w:rPr>
      <w:i/>
      <w:sz w:val="22"/>
      <w:szCs w:val="22"/>
      <w:u w:val="single"/>
    </w:rPr>
  </w:style>
  <w:style w:type="character" w:styleId="976" w:customStyle="1">
    <w:name w:val="Default Zayavka Char"/>
    <w:link w:val="975"/>
    <w:rPr>
      <w:i/>
      <w:sz w:val="22"/>
      <w:szCs w:val="22"/>
      <w:u w:val="single"/>
    </w:rPr>
  </w:style>
  <w:style w:type="paragraph" w:styleId="977">
    <w:name w:val="footnote text"/>
    <w:basedOn w:val="927"/>
    <w:link w:val="978"/>
  </w:style>
  <w:style w:type="character" w:styleId="978" w:customStyle="1">
    <w:name w:val="Текст сноски Знак"/>
    <w:basedOn w:val="937"/>
    <w:link w:val="977"/>
  </w:style>
  <w:style w:type="character" w:styleId="979">
    <w:name w:val="footnote reference"/>
    <w:basedOn w:val="937"/>
    <w:rPr>
      <w:vertAlign w:val="superscript"/>
    </w:rPr>
  </w:style>
  <w:style w:type="paragraph" w:styleId="980">
    <w:name w:val="endnote text"/>
    <w:basedOn w:val="927"/>
    <w:link w:val="981"/>
  </w:style>
  <w:style w:type="character" w:styleId="981" w:customStyle="1">
    <w:name w:val="Текст концевой сноски Знак"/>
    <w:basedOn w:val="937"/>
    <w:link w:val="980"/>
  </w:style>
  <w:style w:type="character" w:styleId="982">
    <w:name w:val="endnote reference"/>
    <w:basedOn w:val="937"/>
    <w:rPr>
      <w:vertAlign w:val="superscript"/>
    </w:rPr>
  </w:style>
  <w:style w:type="paragraph" w:styleId="983" w:customStyle="1">
    <w:name w:val="ConsPlusJurTerm"/>
    <w:uiPriority w:val="99"/>
    <w:pPr>
      <w:widowControl w:val="off"/>
    </w:pPr>
    <w:rPr>
      <w:rFonts w:ascii="Tahoma" w:hAnsi="Tahoma" w:cs="Tahoma" w:eastAsiaTheme="minorEastAsia"/>
      <w:sz w:val="26"/>
      <w:szCs w:val="26"/>
    </w:rPr>
  </w:style>
  <w:style w:type="paragraph" w:styleId="984" w:customStyle="1">
    <w:name w:val="ConsPlusTitle"/>
    <w:uiPriority w:val="99"/>
    <w:rPr>
      <w:rFonts w:ascii="Arial" w:hAnsi="Arial" w:eastAsia="SimSun" w:cs="Arial"/>
      <w:b/>
      <w:bCs/>
      <w:lang w:eastAsia="zh-CN"/>
    </w:rPr>
  </w:style>
  <w:style w:type="paragraph" w:styleId="985">
    <w:name w:val="Body Text Indent 2"/>
    <w:basedOn w:val="927"/>
    <w:link w:val="986"/>
    <w:pPr>
      <w:ind w:left="283"/>
      <w:spacing w:after="120" w:line="480" w:lineRule="auto"/>
    </w:pPr>
    <w:rPr>
      <w:sz w:val="24"/>
      <w:szCs w:val="24"/>
    </w:rPr>
  </w:style>
  <w:style w:type="character" w:styleId="986" w:customStyle="1">
    <w:name w:val="Основной текст с отступом 2 Знак"/>
    <w:basedOn w:val="937"/>
    <w:link w:val="985"/>
    <w:rPr>
      <w:sz w:val="24"/>
      <w:szCs w:val="24"/>
    </w:rPr>
  </w:style>
  <w:style w:type="paragraph" w:styleId="987" w:customStyle="1">
    <w:name w:val="Стиль Стиль Заголовок 1 + все прописные"/>
    <w:basedOn w:val="927"/>
    <w:pPr>
      <w:keepNext/>
      <w:spacing w:before="240" w:after="60" w:line="360" w:lineRule="auto"/>
      <w:outlineLvl w:val="0"/>
    </w:pPr>
    <w:rPr>
      <w:b/>
      <w:bCs/>
      <w:sz w:val="32"/>
      <w:szCs w:val="32"/>
    </w:rPr>
  </w:style>
  <w:style w:type="paragraph" w:styleId="988" w:customStyle="1">
    <w:name w:val="ConsTitle"/>
    <w:pPr>
      <w:ind w:right="19772"/>
    </w:pPr>
    <w:rPr>
      <w:rFonts w:ascii="Arial" w:hAnsi="Arial" w:cs="Arial"/>
      <w:b/>
      <w:bCs/>
      <w:sz w:val="16"/>
      <w:szCs w:val="16"/>
    </w:rPr>
  </w:style>
  <w:style w:type="paragraph" w:styleId="989" w:customStyle="1">
    <w:name w:val="ConsNormal"/>
    <w:pPr>
      <w:ind w:right="19772" w:firstLine="720"/>
      <w:widowControl w:val="off"/>
    </w:pPr>
    <w:rPr>
      <w:rFonts w:ascii="Arial" w:hAnsi="Arial" w:cs="Arial"/>
    </w:rPr>
  </w:style>
  <w:style w:type="character" w:styleId="990">
    <w:name w:val="FollowedHyperlink"/>
    <w:rPr>
      <w:color w:val="800080"/>
      <w:u w:val="single"/>
    </w:rPr>
  </w:style>
  <w:style w:type="paragraph" w:styleId="991">
    <w:name w:val="Body Text Indent 3"/>
    <w:basedOn w:val="927"/>
    <w:link w:val="992"/>
    <w:pPr>
      <w:ind w:left="283"/>
      <w:spacing w:after="120"/>
    </w:pPr>
    <w:rPr>
      <w:sz w:val="16"/>
      <w:szCs w:val="16"/>
    </w:rPr>
  </w:style>
  <w:style w:type="character" w:styleId="992" w:customStyle="1">
    <w:name w:val="Основной текст с отступом 3 Знак"/>
    <w:basedOn w:val="937"/>
    <w:link w:val="991"/>
    <w:rPr>
      <w:sz w:val="16"/>
      <w:szCs w:val="16"/>
    </w:rPr>
  </w:style>
  <w:style w:type="paragraph" w:styleId="993">
    <w:name w:val="Body Text 2"/>
    <w:basedOn w:val="927"/>
    <w:link w:val="994"/>
    <w:pPr>
      <w:spacing w:after="120" w:line="480" w:lineRule="auto"/>
    </w:pPr>
  </w:style>
  <w:style w:type="character" w:styleId="994" w:customStyle="1">
    <w:name w:val="Основной текст 2 Знак"/>
    <w:basedOn w:val="937"/>
    <w:link w:val="993"/>
  </w:style>
  <w:style w:type="paragraph" w:styleId="995" w:customStyle="1">
    <w:name w:val="Основной текст 21"/>
    <w:basedOn w:val="927"/>
    <w:pPr>
      <w:ind w:firstLine="851"/>
      <w:jc w:val="both"/>
    </w:pPr>
    <w:rPr>
      <w:sz w:val="27"/>
    </w:rPr>
  </w:style>
  <w:style w:type="paragraph" w:styleId="996" w:customStyle="1">
    <w:name w:val="ConsCell"/>
    <w:pPr>
      <w:ind w:right="19772"/>
      <w:widowControl w:val="off"/>
    </w:pPr>
    <w:rPr>
      <w:rFonts w:ascii="Arial" w:hAnsi="Arial"/>
      <w:sz w:val="24"/>
    </w:rPr>
  </w:style>
  <w:style w:type="paragraph" w:styleId="997" w:customStyle="1">
    <w:name w:val="ConsPlusNormal Знак"/>
    <w:pPr>
      <w:ind w:firstLine="720"/>
    </w:pPr>
    <w:rPr>
      <w:rFonts w:ascii="Arial" w:hAnsi="Arial" w:cs="Arial"/>
    </w:rPr>
  </w:style>
  <w:style w:type="paragraph" w:styleId="998" w:customStyle="1">
    <w:name w:val="Обычный2"/>
    <w:pPr>
      <w:spacing w:before="100" w:after="100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s://login.consultant.ru/link/?req=doc&amp;base=RLAW363&amp;n=197555&amp;dst=100151&amp;field=134&amp;date=29.05.2026" TargetMode="External"/><Relationship Id="rId14" Type="http://schemas.openxmlformats.org/officeDocument/2006/relationships/hyperlink" Target="https://login.consultant.ru/link/?req=doc&amp;base=RLAW363&amp;n=197555&amp;dst=100159&amp;field=134&amp;date=29.05.2026" TargetMode="External"/><Relationship Id="rId15" Type="http://schemas.openxmlformats.org/officeDocument/2006/relationships/hyperlink" Target="https://www.gosuslugi.ru/" TargetMode="External"/><Relationship Id="rId16" Type="http://schemas.openxmlformats.org/officeDocument/2006/relationships/hyperlink" Target="http://uslugi.tatarstan.ru/" TargetMode="External"/><Relationship Id="rId17" Type="http://schemas.openxmlformats.org/officeDocument/2006/relationships/hyperlink" Target="consultantplus://offline/ref=42393502BC146386754AB5BD5CEE28BBC88677A18672F34D9E8753A1903F69B844CC3A5EC9EA22BF0EDE0CF2ACA4374B56C1D2419737C7422BFA98LAP2O" TargetMode="External"/><Relationship Id="rId18" Type="http://schemas.openxmlformats.org/officeDocument/2006/relationships/hyperlink" Target="consultantplus://offline/ref=1966D3E8437E9C2F8F46AA4C81D57051BD31710F1359F4F4AA2653D081617EAC91311E233720FE56CAA158C6D9DBF51CA192908C934547252FP7H" TargetMode="External"/><Relationship Id="rId19" Type="http://schemas.openxmlformats.org/officeDocument/2006/relationships/hyperlink" Target="consultantplus://offline/ref=1966D3E8437E9C2F8F46AA4C81D57051BD31710F1359F4F4AA2653D081617EAC91311E233720FE54C0A158C6D9DBF51CA192908C934547252FP7H" TargetMode="External"/><Relationship Id="rId20" Type="http://schemas.openxmlformats.org/officeDocument/2006/relationships/hyperlink" Target="https://login.consultant.ru/link/?req=doc&amp;base=RLAW363&amp;n=196527&amp;dst=100184&amp;field=134&amp;date=01.06.2026" TargetMode="External"/><Relationship Id="rId21" Type="http://schemas.openxmlformats.org/officeDocument/2006/relationships/hyperlink" Target="https://uslugi.tatarstan.ru/" TargetMode="External"/><Relationship Id="rId22" Type="http://schemas.openxmlformats.org/officeDocument/2006/relationships/hyperlink" Target="https://www.gosuslugi.ru/" TargetMode="External"/><Relationship Id="rId23" Type="http://schemas.openxmlformats.org/officeDocument/2006/relationships/hyperlink" Target="consultantplus://offline/ref=0EEDAAC6DA93A3BD6921B2268E1F73D6CD34B4789A5150B5B2273887F8480378C59AF8CE55DDA1AD7FBC0F115EfEj0K" TargetMode="External"/><Relationship Id="rId24" Type="http://schemas.openxmlformats.org/officeDocument/2006/relationships/hyperlink" Target="http://internet.garant.ru/document/redirect/74262304/0" TargetMode="External"/><Relationship Id="rId25" Type="http://schemas.openxmlformats.org/officeDocument/2006/relationships/hyperlink" Target="mailto:O.Gareev@tatar.ru" TargetMode="External"/><Relationship Id="rId26" Type="http://schemas.openxmlformats.org/officeDocument/2006/relationships/hyperlink" Target="mailto:Guzel.Ibragimova@tatar.ru" TargetMode="External"/><Relationship Id="rId27" Type="http://schemas.openxmlformats.org/officeDocument/2006/relationships/hyperlink" Target="mailto:Liliya.Abdrahmanova@tatar.ru" TargetMode="External"/><Relationship Id="rId28" Type="http://schemas.openxmlformats.org/officeDocument/2006/relationships/hyperlink" Target="mailto:German.Faskhiev@tata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A0DB9-894F-4346-AA58-634939EF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Минфин РТ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wnw</dc:creator>
  <cp:revision>17</cp:revision>
  <dcterms:created xsi:type="dcterms:W3CDTF">2022-09-09T06:59:00Z</dcterms:created>
  <dcterms:modified xsi:type="dcterms:W3CDTF">2026-07-27T11:19:33Z</dcterms:modified>
</cp:coreProperties>
</file>