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«__» ____ 2026 г.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  <w:tab w:val="left" w:leader="none" w:pos="4253"/>
        </w:tabs>
        <w:spacing w:line="240" w:lineRule="auto"/>
        <w:ind w:right="52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D5448E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right="5102"/>
        <w:contextualSpacing w:val="true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val="undefined"/>
        </w:rPr>
        <w:t xml:space="preserve">Об установлении нормативов для формирования стипендиального фонда за счет бюджетных ассигнований бюджета Республики Татарстан и стоимости дневного рациона питания обучающихся профессиональных образовательных организаций и образовательных организаций высшег</w:t>
      </w:r>
      <w:r>
        <w:rPr>
          <w:rFonts w:ascii="Times New Roman" w:hAnsi="Times New Roman"/>
          <w:sz w:val="28"/>
          <w:szCs w:val="28"/>
          <w:lang w:val="undefined"/>
        </w:rPr>
        <w:t xml:space="preserve">о образования, получающих образование за счет средств бюджета Республики Татарстан</w:t>
      </w:r>
      <w:r>
        <w:rPr>
          <w:rFonts w:ascii="Times New Roman" w:hAnsi="Times New Roman"/>
          <w:sz w:val="28"/>
          <w:szCs w:val="28"/>
          <w:lang w:val="undefined"/>
        </w:rPr>
      </w:r>
      <w:r/>
      <w:bookmarkStart w:id="0" w:name="_Hlk14188638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, </w:t>
      </w:r>
      <w:bookmarkStart w:id="1" w:name="_Hlk172726263"/>
      <w:r/>
      <w:bookmarkEnd w:id="0"/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5102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numPr>
          <w:ilvl w:val="0"/>
          <w:numId w:val="10"/>
        </w:numPr>
        <w:pBdr/>
        <w:tabs>
          <w:tab w:val="left" w:leader="none" w:pos="851"/>
          <w:tab w:val="left" w:leader="none" w:pos="1134"/>
        </w:tabs>
        <w:spacing w:after="0" w:line="288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нормативы для формирования стипендиального </w:t>
      </w:r>
      <w:r>
        <w:rPr>
          <w:rFonts w:ascii="Times New Roman" w:hAnsi="Times New Roman"/>
          <w:sz w:val="28"/>
          <w:szCs w:val="28"/>
        </w:rPr>
        <w:t xml:space="preserve">фонда за счет бюджетных ассигнований бюджета Республики Татарстан на 2027 год и на плановый период 2028 и 2029 годов;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дневного рациона питания обучающихся по программам подготовки квалифицированных рабочих, служащих по очной форме обучения на баз</w:t>
      </w:r>
      <w:r>
        <w:rPr>
          <w:rFonts w:ascii="Times New Roman" w:hAnsi="Times New Roman"/>
          <w:sz w:val="28"/>
          <w:szCs w:val="28"/>
        </w:rPr>
        <w:t xml:space="preserve">е основного общего образования в профессиональных образовательных организациях и образовательных организациях высшего образования за счет средств бюджета Республики Татарстан на 2027 год и на плановый период 2028 и 2029 годов;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дневного рациона пи</w:t>
      </w:r>
      <w:r>
        <w:rPr>
          <w:rFonts w:ascii="Times New Roman" w:hAnsi="Times New Roman"/>
          <w:sz w:val="28"/>
          <w:szCs w:val="28"/>
        </w:rPr>
        <w:t xml:space="preserve">тания обучающихся училища </w:t>
      </w:r>
      <w:r>
        <w:rPr>
          <w:rFonts w:ascii="Times New Roman" w:hAnsi="Times New Roman"/>
          <w:sz w:val="28"/>
          <w:szCs w:val="28"/>
        </w:rPr>
        <w:t xml:space="preserve">олимпийского резерва исходя из суточного рациона, величины энергозатрат в зависимости от вида спорта и калорийности продуктов питания на 2027 год и на плановый период 2028 и 2029 годов.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Рекомендовать образовательным организация</w:t>
      </w:r>
      <w:r>
        <w:rPr>
          <w:rFonts w:ascii="Times New Roman" w:hAnsi="Times New Roman"/>
          <w:sz w:val="28"/>
          <w:szCs w:val="28"/>
        </w:rPr>
        <w:t xml:space="preserve">м при определении размеров государственных социальных стипендий, назначаемых студентам, являющимся детьми-сиротами и детьми, оставшимися без попечения родителей, лицами из числа детей-сирот и детей, оставшихся без попечения родителей, лицами, потерявшими в</w:t>
      </w:r>
      <w:r>
        <w:rPr>
          <w:rFonts w:ascii="Times New Roman" w:hAnsi="Times New Roman"/>
          <w:sz w:val="28"/>
          <w:szCs w:val="28"/>
        </w:rPr>
        <w:t xml:space="preserve"> период обучения обоих родителей или единственного родителя,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</w:t>
      </w:r>
      <w:r>
        <w:rPr>
          <w:rFonts w:ascii="Times New Roman" w:hAnsi="Times New Roman"/>
          <w:sz w:val="28"/>
          <w:szCs w:val="28"/>
        </w:rPr>
        <w:t xml:space="preserve">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действий, а также студентам из числа граждан, проходивших в тече</w:t>
      </w:r>
      <w:r>
        <w:rPr>
          <w:rFonts w:ascii="Times New Roman" w:hAnsi="Times New Roman"/>
          <w:sz w:val="28"/>
          <w:szCs w:val="28"/>
        </w:rPr>
        <w:t xml:space="preserve">ние не менее трех лет военную службу по контракту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</w:t>
      </w:r>
      <w:hyperlink r:id="rId25" w:tooltip="consultantplus://offline/ref=D71C165BFED59AFB980A28C766C872523B496B13C8DF78A7DE7D00659E32567937028D51E9D1D73Dw828I" w:history="1">
        <w:r>
          <w:rPr>
            <w:rFonts w:ascii="Times New Roman" w:hAnsi="Times New Roman"/>
            <w:sz w:val="28"/>
            <w:szCs w:val="28"/>
          </w:rPr>
          <w:t xml:space="preserve">подпунктами «б</w:t>
        </w:r>
      </w:hyperlink>
      <w:r>
        <w:rPr>
          <w:rFonts w:ascii="Times New Roman" w:hAnsi="Times New Roman"/>
          <w:sz w:val="28"/>
          <w:szCs w:val="28"/>
        </w:rPr>
        <w:t xml:space="preserve">» - </w:t>
      </w:r>
      <w:hyperlink r:id="rId26" w:tooltip="consultantplus://offline/ref=D71C165BFED59AFB980A28C766C872523B496B13C8DF78A7DE7D00659E32567937028D51E9D1D432w829I" w:history="1">
        <w:r>
          <w:rPr>
            <w:rFonts w:ascii="Times New Roman" w:hAnsi="Times New Roman"/>
            <w:sz w:val="28"/>
            <w:szCs w:val="28"/>
          </w:rPr>
          <w:t xml:space="preserve">«г»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7" w:tooltip="consultantplus://offline/ref=D71C165BFED59AFB980A28C766C872523B496B13C8DF78A7DE7D00659E32567937028D51E9D1D73Dw820I" w:history="1">
        <w:r>
          <w:rPr>
            <w:rFonts w:ascii="Times New Roman" w:hAnsi="Times New Roman"/>
            <w:sz w:val="28"/>
            <w:szCs w:val="28"/>
          </w:rPr>
          <w:t xml:space="preserve">подпунктом «а» пункта 2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28" w:tooltip="consultantplus://offline/ref=D71C165BFED59AFB980A28C766C872523B496B13C8DF78A7DE7D00659E32567937028D51E9D1D73Cw82CI" w:history="1">
        <w:r>
          <w:rPr>
            <w:rFonts w:ascii="Times New Roman" w:hAnsi="Times New Roman"/>
            <w:sz w:val="28"/>
            <w:szCs w:val="28"/>
          </w:rPr>
          <w:t xml:space="preserve">подпунктами «а</w:t>
        </w:r>
      </w:hyperlink>
      <w:r>
        <w:rPr>
          <w:rFonts w:ascii="Times New Roman" w:hAnsi="Times New Roman"/>
          <w:sz w:val="28"/>
          <w:szCs w:val="28"/>
        </w:rPr>
        <w:t xml:space="preserve">» - </w:t>
      </w:r>
      <w:hyperlink r:id="rId29" w:tooltip="consultantplus://offline/ref=D71C165BFED59AFB980A28C766C872523B496B13C8DF78A7DE7D00659E32567937028D51E9D1D73Cw82EI" w:history="1">
        <w:r>
          <w:rPr>
            <w:rFonts w:ascii="Times New Roman" w:hAnsi="Times New Roman"/>
            <w:sz w:val="28"/>
            <w:szCs w:val="28"/>
          </w:rPr>
          <w:t xml:space="preserve">«в» пункта 3 статьи 51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28 марта 1998 года № 53-ФЗ «О воинской обязанн</w:t>
      </w:r>
      <w:r>
        <w:rPr>
          <w:rFonts w:ascii="Times New Roman" w:hAnsi="Times New Roman"/>
          <w:sz w:val="28"/>
          <w:szCs w:val="28"/>
        </w:rPr>
        <w:t xml:space="preserve">ости и военной службе», студентам, получившим государственную социальную помощь, применять повышающий коэффициент 1,5 к соответствующим нормативам, установленным абзацем 2 </w:t>
      </w:r>
      <w:hyperlink r:id="rId30" w:tooltip="consultantplus://offline/ref=D71C165BFED59AFB980A36CA70A42F5D31433116C2D172F083225B38C93B5C2E704DD413ADDCD33B893B10wA2AI" w:history="1">
        <w:r>
          <w:rPr>
            <w:rFonts w:ascii="Times New Roman" w:hAnsi="Times New Roman"/>
            <w:sz w:val="28"/>
            <w:szCs w:val="28"/>
          </w:rPr>
          <w:t xml:space="preserve">пункта 1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постановления.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7F6644E1">
      <w:pPr>
        <w:pStyle w:val="110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val="undefined"/>
        </w:rPr>
        <w:t xml:space="preserve">3. </w:t>
      </w:r>
      <w:r>
        <w:rPr>
          <w:rFonts w:ascii="Times New Roman" w:hAnsi="Times New Roman"/>
          <w:sz w:val="28"/>
          <w:szCs w:val="28"/>
          <w:lang w:val="undefined" w:eastAsia="en-US"/>
        </w:rPr>
        <w:t xml:space="preserve">Признать </w:t>
      </w:r>
      <w:r>
        <w:rPr>
          <w:rFonts w:ascii="Times New Roman" w:hAnsi="Times New Roman"/>
          <w:sz w:val="28"/>
          <w:szCs w:val="28"/>
          <w:lang w:val="undefined" w:eastAsia="en-US"/>
        </w:rPr>
        <w:t xml:space="preserve">утратившими силу постановление Кабинета</w:t>
      </w:r>
      <w:r>
        <w:rPr>
          <w:rFonts w:ascii="Times New Roman" w:hAnsi="Times New Roman"/>
          <w:sz w:val="28"/>
          <w:szCs w:val="28"/>
          <w:lang w:val="undefined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ndefined" w:eastAsia="en-US"/>
        </w:rPr>
        <w:t xml:space="preserve">Министров Республики Татарстан </w:t>
      </w:r>
      <w:r>
        <w:rPr>
          <w:rFonts w:ascii="Times New Roman" w:hAnsi="Times New Roman"/>
          <w:sz w:val="28"/>
          <w:szCs w:val="28"/>
          <w:lang w:val="undefined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 xml:space="preserve">25</w:t>
      </w:r>
      <w:r>
        <w:rPr>
          <w:rFonts w:ascii="Times New Roman" w:hAnsi="Times New Roman"/>
          <w:sz w:val="28"/>
          <w:szCs w:val="28"/>
        </w:rPr>
        <w:t xml:space="preserve">.09.202</w:t>
      </w:r>
      <w:r>
        <w:rPr>
          <w:rFonts w:ascii="Times New Roman" w:hAnsi="Times New Roman"/>
          <w:sz w:val="28"/>
          <w:szCs w:val="28"/>
          <w:lang w:val="ru-RU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№ 7</w:t>
      </w:r>
      <w:r>
        <w:rPr>
          <w:rFonts w:ascii="Times New Roman" w:hAnsi="Times New Roman"/>
          <w:sz w:val="28"/>
          <w:szCs w:val="28"/>
          <w:lang w:val="ru-RU"/>
        </w:rPr>
        <w:t xml:space="preserve">44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ndefined"/>
        </w:rPr>
        <w:t xml:space="preserve">«</w:t>
      </w:r>
      <w:r>
        <w:rPr>
          <w:rFonts w:ascii="Times New Roman" w:hAnsi="Times New Roman"/>
          <w:sz w:val="28"/>
          <w:szCs w:val="28"/>
          <w:lang w:val="undefined"/>
        </w:rPr>
        <w:t xml:space="preserve">Об установлении нормативов для формирования стипендиального фонда за счет бюджетных ассигнований бюджета Республики Татарстан и стоимости дневного рациона питания обучающихся профессиональных образовательных организаций и образовательных организаций высшег</w:t>
      </w:r>
      <w:r>
        <w:rPr>
          <w:rFonts w:ascii="Times New Roman" w:hAnsi="Times New Roman"/>
          <w:sz w:val="28"/>
          <w:szCs w:val="28"/>
          <w:lang w:val="undefined"/>
        </w:rPr>
        <w:t xml:space="preserve">о образования, получающих образование за счет средств бюджета Республики Татарстан</w:t>
      </w:r>
      <w:r>
        <w:rPr>
          <w:rFonts w:ascii="Times New Roman" w:hAnsi="Times New Roman"/>
          <w:sz w:val="28"/>
          <w:szCs w:val="28"/>
          <w:lang w:val="undefined"/>
        </w:rPr>
        <w:t xml:space="preserve">, на 202</w:t>
      </w:r>
      <w:r>
        <w:rPr>
          <w:rFonts w:ascii="Times New Roman" w:hAnsi="Times New Roman"/>
          <w:sz w:val="28"/>
          <w:szCs w:val="28"/>
          <w:lang w:val="ru-RU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lang w:val="ru-RU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undefined"/>
        </w:rPr>
        <w:t xml:space="preserve">202</w:t>
      </w:r>
      <w:r>
        <w:rPr>
          <w:rFonts w:ascii="Times New Roman" w:hAnsi="Times New Roman"/>
          <w:sz w:val="28"/>
          <w:szCs w:val="28"/>
          <w:lang w:val="ru-RU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sz w:val="28"/>
          <w:szCs w:val="28"/>
          <w:lang w:val="undefined"/>
        </w:rPr>
        <w:t xml:space="preserve">.</w:t>
      </w:r>
      <w:r>
        <w:rPr>
          <w:rFonts w:ascii="Times New Roman" w:hAnsi="Times New Roman"/>
          <w:sz w:val="28"/>
          <w:szCs w:val="28"/>
          <w:lang w:val="undefined" w:bidi="undefined"/>
        </w:rPr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pStyle w:val="1100"/>
        <w:pBdr/>
        <w:tabs>
          <w:tab w:val="left" w:leader="none" w:pos="1134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Установить, что настоящее постановление вступает в силу с 1 января 2027 года.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tabs>
          <w:tab w:val="left" w:leader="none" w:pos="851"/>
        </w:tabs>
        <w:spacing w:after="0" w:line="288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00"/>
        <w:pBdr/>
        <w:spacing w:after="0" w:line="288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88" w:lineRule="auto"/>
        <w:ind/>
        <w:contextualSpacing w:val="true"/>
        <w:jc w:val="both"/>
        <w:rPr>
          <w:b/>
          <w:bCs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А.В.Песошин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0" w:line="288" w:lineRule="auto"/>
        <w:ind/>
        <w:contextualSpacing w:val="true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0" w:line="288" w:lineRule="auto"/>
        <w:ind/>
        <w:contextualSpacing w:val="true"/>
        <w:jc w:val="both"/>
        <w:rPr>
          <w:b/>
          <w:bCs/>
        </w:rPr>
        <w:sectPr>
          <w:headerReference w:type="default" r:id="rId9"/>
          <w:headerReference w:type="even" r:id="rId10"/>
          <w:headerReference w:type="first" r:id="rId11"/>
          <w:footerReference w:type="default" r:id="rId19"/>
          <w:footerReference w:type="even" r:id="rId20"/>
          <w:footerReference w:type="first" r:id="rId21"/>
          <w:footnotePr/>
          <w:endnotePr/>
          <w:type w:val="nextPage"/>
          <w:pgSz w:h="16838" w:orient="portrait" w:w="11906"/>
          <w:pgMar w:top="1134" w:right="850" w:bottom="1134" w:left="1701" w:header="709" w:footer="709" w:gutter="0"/>
          <w:pgNumType w:start="1"/>
          <w:cols w:num="1" w:sep="0" w:space="708" w:equalWidth="1"/>
          <w:titlePg/>
        </w:sect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2026 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НОРМАТИВЫ ДЛЯ ФОРМИРОВАНИЯ СТИПЕНДИАЛЬНОГО ФОНДА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БЮДЖЕТНЫХ АССИГНОВАНИЙ БЮДЖЕТА РЕСПУБЛИКИ ТАТАРСТАН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58"/>
        <w:gridCol w:w="1541"/>
        <w:gridCol w:w="1511"/>
        <w:gridCol w:w="1596"/>
        <w:gridCol w:w="1472"/>
      </w:tblGrid>
      <w:tr>
        <w:trPr>
          <w:jc w:val="center"/>
          <w:trHeight w:val="7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норматива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Размер норматива, рублей в месяц на одного обуча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ющегося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8"/>
                <w:highlight w:val="green"/>
              </w:rPr>
            </w:r>
            <w:r>
              <w:rPr>
                <w:rFonts w:ascii="Times New Roman" w:hAnsi="Times New Roman"/>
                <w:sz w:val="28"/>
                <w:szCs w:val="28"/>
                <w:highlight w:val="green"/>
              </w:rPr>
            </w:r>
            <w:r>
              <w:rPr>
                <w:rFonts w:ascii="Times New Roman" w:hAnsi="Times New Roman"/>
                <w:sz w:val="28"/>
                <w:szCs w:val="28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</w:t>
              <w:br/>
              <w:t xml:space="preserve">января 2027 г.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 сентября 2027 г.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 сентября 2028 г.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 сентября 2029 г.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8" w:type="dxa"/>
            <w:vAlign w:val="center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Align w:val="center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6" w:type="dxa"/>
            <w:vAlign w:val="center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textDirection w:val="lrTb"/>
            <w:noWrap w:val="false"/>
          </w:tcPr>
          <w:p w14:paraId="013B4F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Норматив формирования стипендиального фонда для выплаты государственной стипендии аспирантам, ординаторам, ассистентам-стажерам образовательных организаций высшего образования, обучающимся по программам подготовки научно-педагогических кадров, ординатуры,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ассистентуры-стажировки по очной форме обучения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 w14:paraId="0FCC48E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3 217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 w14:paraId="5AA3C72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3 346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 w14:paraId="0274C22E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480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 w14:paraId="464D9AB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3 619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textDirection w:val="lrTb"/>
            <w:noWrap w:val="false"/>
          </w:tcPr>
          <w:p w14:paraId="32FC083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Норматив формирования стипендиального фонда для выплаты государственной академической стипендии, государственной социальной стипендии студентам образовательных организаций высшего образования, обучающимся по программам бакалавриата, программам специалитета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, программам магистратуры по очной форме обучения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 w14:paraId="7B49ED72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2 354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 w14:paraId="7C0D9AE7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2 448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 w14:paraId="6D353849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546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 w14:paraId="560AD8F9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2 648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textDirection w:val="lrTb"/>
            <w:noWrap w:val="false"/>
          </w:tcPr>
          <w:p w14:paraId="5084669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Норматив формирования стипендиального фонда для выплаты государственной академической стипендии, государственной социальной стипендии студентам профессиональных образовательных организаций и образовательных организаций высшего образования, обучающимся по п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рограммам подготовки специалистов среднего звена по очной форме обучения за счет средств бюджета Республики Татарстан, студентам профессиональных образовательных организаций, обучающимся по программам подготовки квалифицированных рабочих, служащих по очной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 форме обучения на базе среднего общего образования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 w14:paraId="7A8C6816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857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 w14:paraId="4FD7C413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891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 w14:paraId="1255CE00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927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 w14:paraId="358D1C54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964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textDirection w:val="lrTb"/>
            <w:noWrap w:val="false"/>
          </w:tcPr>
          <w:p w14:paraId="20E829B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Норматив формирования стипендиального фонда для выплаты государственной академической стипендии, государственной социальной стипендии студентам профессиональных образовательных организаций и образовательных организаций высшего образования, обучающимся по п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рограммам подготовки квалифицированных рабочих, служащих по очной форме обучения на базе основного общего образования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 w14:paraId="5E8B7FA4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614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 w14:paraId="1EF88A9A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639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 w14:paraId="3E39BEAF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665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 w14:paraId="729AAB16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692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58" w:type="dxa"/>
            <w:vAlign w:val="center"/>
            <w:textDirection w:val="lrTb"/>
            <w:noWrap w:val="false"/>
          </w:tcPr>
          <w:p w14:paraId="668F24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Норматив формирования стипендиального фонда для выплаты государственной стипендии аспирантам государственных учреждений сферы научных исследований и разработок, обучающимся по программе подготовки научно-педагогических кадров по очной форме обучения за сче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1" w:type="dxa"/>
            <w:vAlign w:val="center"/>
            <w:textDirection w:val="lrTb"/>
            <w:noWrap w:val="false"/>
          </w:tcPr>
          <w:p w14:paraId="0D32900A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8 719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 w14:paraId="04DCE7B8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9 068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6" w:type="dxa"/>
            <w:vAlign w:val="center"/>
            <w:textDirection w:val="lrTb"/>
            <w:noWrap w:val="false"/>
          </w:tcPr>
          <w:p w14:paraId="337B2928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431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2" w:type="dxa"/>
            <w:vAlign w:val="center"/>
            <w:textDirection w:val="lrTb"/>
            <w:noWrap w:val="false"/>
          </w:tcPr>
          <w:p w14:paraId="715C8C6C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9 808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</w:tbl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  <w:sectPr>
          <w:headerReference w:type="default" r:id="rId12"/>
          <w:headerReference w:type="first" r:id="rId13"/>
          <w:footerReference w:type="default" r:id="rId22"/>
          <w:footerReference w:type="first" r:id="rId23"/>
          <w:footnotePr/>
          <w:endnotePr/>
          <w:type w:val="nextPage"/>
          <w:pgSz w:h="11906" w:orient="landscape" w:w="16838"/>
          <w:pgMar w:top="1701" w:right="1134" w:bottom="850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Утверждено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________ 2026 № 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CТОИМОСТЬ ДНЕВНОГО РАЦИОНА ПИТАНИЯ ОБУЧАЮЩИХ</w:t>
      </w:r>
      <w:r>
        <w:rPr>
          <w:rFonts w:ascii="Times New Roman" w:hAnsi="Times New Roman"/>
          <w:sz w:val="28"/>
          <w:szCs w:val="28"/>
          <w:highlight w:val="white"/>
        </w:rPr>
        <w:t xml:space="preserve">СЯ ПО ПРОГРАММАМ ПОДГОТОВКИ КВАЛИФИЦИРОВАННЫХ РАБОЧИХ, СЛУЖАЩИХ ПО ОЧНОЙ ФОРМЕ ОБУЧЕНИЯ НА БАЗЕ ОСНОВНОГО ОБЩЕГО ОБРАЗОВАНИЯ В ПРОФЕССИОНАЛЬНЫХ ОБРАЗОВАТЕЛЬНЫХ ОРГАНИЗАЦИЯХ И ОБРАЗОВАТЕЛЬНЫХ ОРГАНИЗАЦИЯХ ВЫСШЕГО ОБРАЗОВАНИЯ ЗА СЧЕТ СРЕДСТВ БЮДЖЕТА РЕСПУБЛИ</w:t>
      </w:r>
      <w:r>
        <w:rPr>
          <w:rFonts w:ascii="Times New Roman" w:hAnsi="Times New Roman"/>
          <w:sz w:val="28"/>
          <w:szCs w:val="28"/>
          <w:highlight w:val="white"/>
        </w:rPr>
        <w:t xml:space="preserve">КИ ТАТАРСТАН 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tbl>
      <w:tblPr>
        <w:tblInd w:w="108" w:type="dxa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948"/>
        <w:gridCol w:w="1691"/>
        <w:gridCol w:w="1551"/>
        <w:gridCol w:w="1488"/>
      </w:tblGrid>
      <w:tr>
        <w:trPr>
          <w:trHeight w:val="8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vAlign w:val="center"/>
            <w:vMerge w:val="restart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Наименование показателя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  <w:textDirection w:val="lrTb"/>
            <w:noWrap w:val="false"/>
          </w:tcPr>
          <w:p>
            <w:pPr>
              <w:pStyle w:val="1137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Значение показателя, рублей в день на одного обучающегося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vAlign w:val="center"/>
            <w:vMerge w:val="continue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" w:type="dxa"/>
            <w:vAlign w:val="center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textDirection w:val="lrTb"/>
            <w:noWrap w:val="false"/>
          </w:tcPr>
          <w:p w14:paraId="5077D82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-851"/>
              </w:tabs>
              <w:spacing w:after="0" w:line="240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Стоимость дневного рациона питания обучающегося по программам подготовки квалифицированных рабочих, служащих по очной форме обучения на базе основного общего образования в профессиональных образовательных организациях и образовательных организациях высшего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 образования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54C05204"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91,46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55DF4D2A"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95,12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" w:type="dxa"/>
            <w:textDirection w:val="lrTb"/>
            <w:noWrap w:val="false"/>
          </w:tcPr>
          <w:p>
            <w:pPr>
              <w:pStyle w:val="1100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99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,00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709" w:left="0"/>
        <w:jc w:val="center"/>
        <w:rPr>
          <w:rFonts w:ascii="Times New Roman" w:hAnsi="Times New Roman"/>
          <w:sz w:val="28"/>
          <w:szCs w:val="28"/>
          <w:highlight w:val="white"/>
        </w:rPr>
        <w:sectPr>
          <w:headerReference w:type="default" r:id="rId14"/>
          <w:headerReference w:type="first" r:id="rId15"/>
          <w:footnotePr/>
          <w:endnotePr/>
          <w:type w:val="nextPage"/>
          <w:pgSz w:h="11906" w:orient="landscape" w:w="16838"/>
          <w:pgMar w:top="1701" w:right="1134" w:bottom="850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1100"/>
        <w:pBdr/>
        <w:tabs>
          <w:tab w:val="left" w:leader="none" w:pos="851"/>
          <w:tab w:val="left" w:leader="none" w:pos="1134"/>
        </w:tabs>
        <w:spacing w:after="0" w:line="288" w:lineRule="auto"/>
        <w:ind w:firstLine="851" w:left="11893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Утверждена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постановлением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________ 2026 № 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 w:left="6521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СТОИМОСТЬ ДНЕВНОГО РАЦИОНА ПИТАНИЯ ОБУЧАЮЩИХСЯ УЧИЛИЩА ОЛИМПИЙСКОГО РЕЗЕРВА ИСХОДЯ ИЗ СУТОЧНОГО РАЦИОНА, ВЕЛИЧИНЫ ЭНЕРГОЗАТРАТ В ЗАВИСИМОСТИ ОТ ВИДА СПОРТА И КАЛОРИЙНОСТИ ПРОДУКТОВ ПИТАНИЯ 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40" w:lineRule="auto"/>
        <w:ind w:right="-57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tbl>
      <w:tblPr>
        <w:tblInd w:w="108" w:type="dxa"/>
        <w:tblW w:w="150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429"/>
        <w:gridCol w:w="3588"/>
        <w:gridCol w:w="1422"/>
        <w:gridCol w:w="1793"/>
        <w:gridCol w:w="1701"/>
        <w:gridCol w:w="1467"/>
      </w:tblGrid>
      <w:tr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3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Наименование по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казателя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9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Группа видов спорта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Вид спорта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2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Энерго-затраты, ккал *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Значение показателя, рублей в день на одного обучающегося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3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7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3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9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2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3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7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Стоимость дневного рациона питания обучающегося училища олимпийского резерва исходя из суточного рациона, величины энергозатрат в зависимости от вида спорта и калорийности продуктов питания за счет средств бюджета Республики Татарстан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Виды спорта, связанны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е с кратковременными, но значительными физическими нагрузками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Акробатика (спортивная), бадминтон, горнолыжный спорт, гимнастика (спортивная, художественная), конный спорт, легкая атлетика (барьерный бег, метания, прыжки, спринт), парусный спорт, плавание с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инхронное, прыжки на батуте, прыжки в воду, прыжки на лыжах с трамплина, санный спорт, сноуборд, стрельба (из лука, пулевая, стендовая), теннис настольный, фехтование, фигурное катание, фристайл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3 000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536AA1DA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584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D82E730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607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2776A7D8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:lang w:val="en-US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631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3 500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7B32249F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620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412B6E5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645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3A14C14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:lang w:val="en-US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671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4 000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1084F2EA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724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5691C997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753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21B86C79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:lang w:val="en-US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783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Виды спорта, характеризующиеся большим объемом и интенсивностью физической нагрузки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Бокс, борьба (вольная, греко-римская, дзюдо, самбо), волейбол, пляжный во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лейбол, водное поло, гандбол, гребной слалом, легкая атлетика (бег на 400, 1500, 3000 м), спортивные игры (баскетбол, волейбол), софтбол, тяжелая атлетика, футбол, хоккей на траве, хоккей с мячом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4 000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39AF1E9E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680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A9FC518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707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5E2594FC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735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5 000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13353652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DD7560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859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440CFE4A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893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5 500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7E57F381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883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7B90BAE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918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69CC71E7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955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Виды спорта, связанные с длительными и напряженными физическими нагрузками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restart"/>
            <w:textDirection w:val="lrTb"/>
            <w:noWrap w:val="false"/>
          </w:tcPr>
          <w:p>
            <w:pPr>
              <w:pStyle w:val="1137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гребля (академическая, на байдарках и каноэ), биатлон, велогонки на шоссе, конькобежный спорт (многоборье), лыжное двоеборье, лыжные гонки, плавание, современное пятиборье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 триатлон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5 000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0D109AE7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82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41D3C3C5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59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605EE09B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893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5 500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635DA415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883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0D2D61F9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918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2BA98544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955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73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9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6 000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3" w:type="dxa"/>
            <w:textDirection w:val="lrTb"/>
            <w:noWrap w:val="false"/>
          </w:tcPr>
          <w:p w14:paraId="104BF939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09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0434FB17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1 142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7" w:type="dxa"/>
            <w:textDirection w:val="lrTb"/>
            <w:noWrap w:val="false"/>
          </w:tcPr>
          <w:p w14:paraId="4E12D20B"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188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/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73" w:type="dxa"/>
            <w:textDirection w:val="lrTb"/>
            <w:noWrap w:val="false"/>
          </w:tcPr>
          <w:p>
            <w:pPr>
              <w:pBdr/>
              <w:tabs>
                <w:tab w:val="left" w:leader="none" w:pos="-851"/>
              </w:tabs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* Величина калорийности суточного рациона питания определяется медицинским персоналом училища олимпийского резерва в зависимости от цикла учебно-тренировочной нагрузки обучающегося.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tabs>
          <w:tab w:val="left" w:leader="none" w:pos="-851"/>
        </w:tabs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right="-57" w:left="-426"/>
        <w:rPr>
          <w:rFonts w:ascii="Times New Roman" w:hAnsi="Times New Roman"/>
          <w:sz w:val="18"/>
          <w:szCs w:val="18"/>
          <w:highlight w:val="white"/>
        </w:rPr>
        <w:sectPr>
          <w:headerReference w:type="default" r:id="rId16"/>
          <w:headerReference w:type="first" r:id="rId17"/>
          <w:footnotePr/>
          <w:endnotePr/>
          <w:type w:val="nextPage"/>
          <w:pgSz w:h="11906" w:orient="landscape" w:w="16838"/>
          <w:pgMar w:top="1701" w:right="1134" w:bottom="850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18"/>
          <w:szCs w:val="18"/>
          <w:highlight w:val="white"/>
        </w:rPr>
      </w:r>
      <w:r>
        <w:rPr>
          <w:rFonts w:ascii="Times New Roman" w:hAnsi="Times New Roman"/>
          <w:sz w:val="18"/>
          <w:szCs w:val="18"/>
          <w:highlight w:val="white"/>
        </w:rPr>
      </w:r>
      <w:r>
        <w:rPr>
          <w:rFonts w:ascii="Times New Roman" w:hAnsi="Times New Roman"/>
          <w:sz w:val="18"/>
          <w:szCs w:val="18"/>
          <w:highlight w:val="white"/>
        </w:rPr>
      </w:r>
    </w:p>
    <w:p>
      <w:pPr>
        <w:pBdr/>
        <w:tabs>
          <w:tab w:val="left" w:leader="none" w:pos="-851"/>
        </w:tabs>
        <w:spacing w:after="0" w:line="281" w:lineRule="auto"/>
        <w:ind w:right="-57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ПОЯСНИТЕЛЬНАЯ ЗАПИСКА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81" w:lineRule="auto"/>
        <w:ind w:right="-57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pBdr/>
        <w:tabs>
          <w:tab w:val="left" w:leader="none" w:pos="-851"/>
        </w:tabs>
        <w:spacing w:after="0" w:line="281" w:lineRule="auto"/>
        <w:ind w:right="-57"/>
        <w:jc w:val="center"/>
        <w:rPr>
          <w:rFonts w:ascii="Times New Roman" w:hAnsi="Times New Roman"/>
          <w:b/>
          <w:bCs/>
          <w:strike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«Об установлении нормативов для формирования стипендиального фонда за счет бюджетных ассигнований бюджета Республики Татарстан и стоимости дневного рациона питания обучаю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щихся профессиональных образовательных организаций и образовательных организаций высшего образования, получающих образование за счет средств бюджета Республики Татарстан, на 2027 год и на плановый период 2028 и 2029 годов </w:t>
      </w:r>
      <w:r>
        <w:rPr>
          <w:rFonts w:ascii="Times New Roman" w:hAnsi="Times New Roman"/>
          <w:b/>
          <w:bCs/>
          <w:strike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trike/>
          <w:sz w:val="28"/>
          <w:szCs w:val="28"/>
          <w:highlight w:val="white"/>
        </w:rPr>
      </w:r>
    </w:p>
    <w:p>
      <w:pPr>
        <w:pBdr/>
        <w:spacing w:line="281" w:lineRule="auto"/>
        <w:ind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1142"/>
        <w:pBdr/>
        <w:spacing w:line="281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 постановления Кабинета Министров Республики Татарстан «Об установлении нормативов для формирования стипендиального фонда за счет бюджетных ассигнований бюджета Республики Татарстан и стоимости дневного рациона питания обучающихся профессиональных об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разовательных организаций и образовательных организаций высшего образования, получающих образование за счет средств бюджета Республики Татарстан, на 2027 год и на плановый период 2028 и 2029 годов» разработан государственным бюджетным учреждением «Центр эк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ономических и социальных исследований Республики Татарстан при Кабинете Министров Республики Татарстан» во исполнение распоряжения Кабинета Министров Республики Тата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рстан от 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5.06.202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 №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1300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-р.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42"/>
        <w:pBdr/>
        <w:spacing w:line="281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Проектом постановления устанавливаются нормативы для формиров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ания </w:t>
      </w:r>
      <w:r>
        <w:rPr>
          <w:rFonts w:ascii="Times New Roman" w:hAnsi="Times New Roman" w:cs="Times New Roman"/>
          <w:sz w:val="28"/>
          <w:szCs w:val="28"/>
        </w:rPr>
        <w:t xml:space="preserve">стипендиального фонда за счет бюджетных ассигнований бюджета Республики Татарстан и стоимости дневного рациона питания обучающихся профессиональных образовательных организаций и образовательных организаций высшего образования, получающих образование з</w:t>
      </w:r>
      <w:r>
        <w:rPr>
          <w:rFonts w:ascii="Times New Roman" w:hAnsi="Times New Roman" w:cs="Times New Roman"/>
          <w:sz w:val="28"/>
          <w:szCs w:val="28"/>
        </w:rPr>
        <w:t xml:space="preserve">а счет средств бюджета Республики Татарстан, на 2027 год и на плановый период 2028 и 2029 годов.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42"/>
        <w:pBdr/>
        <w:spacing w:line="281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Средства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предоставление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стипендий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организацию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питания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обучающи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профессиональных 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высшего образов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пред</w:t>
      </w:r>
      <w:r>
        <w:rPr>
          <w:rFonts w:ascii="Times New Roman" w:hAnsi="Times New Roman" w:cs="Times New Roman"/>
          <w:sz w:val="28"/>
          <w:szCs w:val="28"/>
        </w:rPr>
        <w:t xml:space="preserve">усмотрены в проекте бюджета Республики Татарстан на 2027 год и на плановый период 2028 и 2029 годов на содержание государственных профессиональных образовательных организаций и образовательных организаций высшего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42"/>
        <w:pBdr/>
        <w:spacing w:line="281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про</w:t>
      </w:r>
      <w:r>
        <w:rPr>
          <w:rFonts w:ascii="Times New Roman" w:hAnsi="Times New Roman" w:cs="Times New Roman"/>
          <w:sz w:val="28"/>
          <w:szCs w:val="28"/>
        </w:rPr>
        <w:t xml:space="preserve">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0"/>
        <w:pBdr/>
        <w:spacing w:after="0" w:line="281" w:lineRule="auto"/>
        <w:ind w:right="0" w:firstLine="709" w:left="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eastAsiaTheme="minorHAnsi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eastAsiaTheme="minorHAnsi"/>
          <w:sz w:val="28"/>
          <w:szCs w:val="28"/>
          <w:lang w:eastAsia="en-US"/>
        </w:rPr>
      </w:r>
    </w:p>
    <w:p>
      <w:pPr>
        <w:pStyle w:val="1100"/>
        <w:pBdr/>
        <w:spacing w:after="0" w:line="281" w:lineRule="auto"/>
        <w:ind w:right="0" w:firstLine="709" w:left="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eastAsiaTheme="minorHAnsi"/>
          <w:sz w:val="28"/>
          <w:szCs w:val="28"/>
        </w:rPr>
        <w:t xml:space="preserve">По итогам независимой а</w:t>
      </w:r>
      <w:r>
        <w:rPr>
          <w:rFonts w:ascii="Times New Roman" w:hAnsi="Times New Roman" w:eastAsiaTheme="minorHAnsi"/>
          <w:sz w:val="28"/>
          <w:szCs w:val="28"/>
        </w:rPr>
        <w:t xml:space="preserve">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eastAsiaTheme="minorHAnsi"/>
          <w:sz w:val="28"/>
          <w:szCs w:val="28"/>
          <w:lang w:eastAsia="en-US"/>
        </w:rPr>
      </w:r>
    </w:p>
    <w:sectPr>
      <w:headerReference w:type="default" r:id="rId18"/>
      <w:footerReference w:type="first" r:id="rId24"/>
      <w:footnotePr/>
      <w:endnotePr/>
      <w:type w:val="nextPage"/>
      <w:pgSz w:h="16838" w:orient="portrait" w:w="11906"/>
      <w:pgMar w:top="1134" w:right="567" w:bottom="1134" w:left="1134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 w:right="-1" w:firstLine="6095"/>
      <w:jc w:val="right"/>
      <w:rPr>
        <w:rFonts w:ascii="Times New Roman" w:hAnsi="Times New Roman"/>
      </w:rPr>
    </w:pPr>
    <w:r>
      <w:rPr>
        <w:rFonts w:ascii="Times New Roman" w:hAnsi="Times New Roman"/>
      </w:rPr>
    </w:r>
    <w:r>
      <w:rPr>
        <w:rFonts w:ascii="Times New Roman" w:hAnsi="Times New Roman"/>
      </w:rPr>
    </w:r>
    <w:r>
      <w:rPr>
        <w:rFonts w:ascii="Times New Roman" w:hAnsi="Times New Roman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rPr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rPr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 w:right="-1" w:firstLine="6095"/>
      <w:jc w:val="right"/>
      <w:rPr>
        <w:rFonts w:ascii="Times New Roman" w:hAnsi="Times New Roman"/>
      </w:rPr>
    </w:pPr>
    <w:r>
      <w:rPr>
        <w:rFonts w:ascii="Times New Roman" w:hAnsi="Times New Roman"/>
      </w:rPr>
    </w:r>
    <w:r>
      <w:rPr>
        <w:rFonts w:ascii="Times New Roman" w:hAnsi="Times New Roman"/>
      </w:rPr>
    </w:r>
    <w:r>
      <w:rPr>
        <w:rFonts w:ascii="Times New Roman" w:hAnsi="Times New Roman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11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11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rPr/>
    </w:pPr>
    <w:r/>
    <w:r/>
  </w:p>
  <w:p>
    <w:pPr>
      <w:pStyle w:val="1111"/>
      <w:pBdr/>
      <w:spacing/>
      <w:ind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11"/>
      <w:pBdr/>
      <w:spacing/>
      <w:ind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rPr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11"/>
      <w:pBdr/>
      <w:spacing/>
      <w:ind/>
      <w:rPr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rPr/>
    </w:pPr>
    <w:r/>
    <w:r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1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1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495"/>
      </w:pPr>
      <w:rPr>
        <w:strike w:val="0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855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55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21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21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257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2935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293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3295"/>
      </w:pPr>
      <w:rPr/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8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450" w:left="45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6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0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8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92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31">
    <w:name w:val="Heading 1 Char"/>
    <w:basedOn w:val="956"/>
    <w:link w:val="9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2">
    <w:name w:val="Heading 2 Char"/>
    <w:basedOn w:val="956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3">
    <w:name w:val="Heading 3 Char"/>
    <w:basedOn w:val="956"/>
    <w:link w:val="9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4">
    <w:name w:val="Heading 4 Char"/>
    <w:basedOn w:val="956"/>
    <w:link w:val="95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5">
    <w:name w:val="Heading 5 Char"/>
    <w:basedOn w:val="956"/>
    <w:link w:val="9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6">
    <w:name w:val="Heading 6 Char"/>
    <w:basedOn w:val="956"/>
    <w:link w:val="95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7">
    <w:name w:val="Heading 7 Char"/>
    <w:basedOn w:val="956"/>
    <w:link w:val="95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8">
    <w:name w:val="Heading 8 Char"/>
    <w:basedOn w:val="956"/>
    <w:link w:val="95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>
    <w:name w:val="Heading 9 Char"/>
    <w:basedOn w:val="956"/>
    <w:link w:val="9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40">
    <w:name w:val="Title Char"/>
    <w:basedOn w:val="956"/>
    <w:link w:val="10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41">
    <w:name w:val="Subtitle Char"/>
    <w:basedOn w:val="956"/>
    <w:link w:val="10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2">
    <w:name w:val="Quote Char"/>
    <w:basedOn w:val="956"/>
    <w:link w:val="10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3">
    <w:name w:val="Intense Quote Char"/>
    <w:basedOn w:val="956"/>
    <w:link w:val="110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4">
    <w:name w:val="Footnote Text Char"/>
    <w:basedOn w:val="956"/>
    <w:link w:val="1116"/>
    <w:uiPriority w:val="99"/>
    <w:semiHidden/>
    <w:pPr>
      <w:pBdr/>
      <w:spacing/>
      <w:ind/>
    </w:pPr>
    <w:rPr>
      <w:sz w:val="20"/>
      <w:szCs w:val="20"/>
    </w:rPr>
  </w:style>
  <w:style w:type="character" w:styleId="945">
    <w:name w:val="Endnote Text Char"/>
    <w:basedOn w:val="956"/>
    <w:link w:val="1119"/>
    <w:uiPriority w:val="99"/>
    <w:semiHidden/>
    <w:pPr>
      <w:pBdr/>
      <w:spacing/>
      <w:ind/>
    </w:pPr>
    <w:rPr>
      <w:sz w:val="20"/>
      <w:szCs w:val="20"/>
    </w:rPr>
  </w:style>
  <w:style w:type="paragraph" w:styleId="946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947">
    <w:name w:val="Heading 1"/>
    <w:basedOn w:val="946"/>
    <w:next w:val="946"/>
    <w:link w:val="108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948">
    <w:name w:val="Heading 2"/>
    <w:basedOn w:val="946"/>
    <w:next w:val="946"/>
    <w:link w:val="108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949">
    <w:name w:val="Heading 3"/>
    <w:basedOn w:val="946"/>
    <w:next w:val="946"/>
    <w:link w:val="108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950">
    <w:name w:val="Heading 4"/>
    <w:basedOn w:val="946"/>
    <w:next w:val="946"/>
    <w:link w:val="108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951">
    <w:name w:val="Heading 5"/>
    <w:basedOn w:val="946"/>
    <w:next w:val="946"/>
    <w:link w:val="108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952">
    <w:name w:val="Heading 6"/>
    <w:basedOn w:val="946"/>
    <w:next w:val="946"/>
    <w:link w:val="109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3">
    <w:name w:val="Heading 7"/>
    <w:basedOn w:val="946"/>
    <w:next w:val="946"/>
    <w:link w:val="109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4">
    <w:name w:val="Heading 8"/>
    <w:basedOn w:val="946"/>
    <w:next w:val="946"/>
    <w:link w:val="109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5">
    <w:name w:val="Heading 9"/>
    <w:basedOn w:val="946"/>
    <w:next w:val="946"/>
    <w:link w:val="109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6" w:default="1">
    <w:name w:val="Default Paragraph Font"/>
    <w:uiPriority w:val="1"/>
    <w:semiHidden/>
    <w:unhideWhenUsed/>
    <w:pPr>
      <w:pBdr/>
      <w:spacing/>
      <w:ind/>
    </w:pPr>
  </w:style>
  <w:style w:type="table" w:styleId="95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8" w:default="1">
    <w:name w:val="No List"/>
    <w:uiPriority w:val="99"/>
    <w:semiHidden/>
    <w:unhideWhenUsed/>
    <w:pPr>
      <w:pBdr/>
      <w:spacing/>
      <w:ind/>
    </w:pPr>
  </w:style>
  <w:style w:type="table" w:styleId="959">
    <w:name w:val="Table Grid"/>
    <w:basedOn w:val="95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Table Grid Light"/>
    <w:basedOn w:val="95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Plain Table 1"/>
    <w:basedOn w:val="95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Plain Table 2"/>
    <w:basedOn w:val="95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Plain Table 3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Plain Table 4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Plain Table 5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Grid Table 1 Light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1 Light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1 Light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Grid Table 1 Light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1 Light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1 Light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1 Light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2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2 - Accent 1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2 - Accent 2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Grid Table 2 - Accent 3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Grid Table 2 - Accent 4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Grid Table 2 - Accent 5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Grid Table 2 - Accent 6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Grid Table 3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Grid Table 3 - Accent 1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Grid Table 3 - Accent 2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Grid Table 3 - Accent 3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Grid Table 3 - Accent 4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Grid Table 3 - Accent 5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Grid Table 3 - Accent 6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4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Grid Table 4 - Accent 1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Grid Table 4 - Accent 2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Grid Table 4 - Accent 3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Grid Table 4 - Accent 4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Grid Table 4 - Accent 5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Grid Table 4 - Accent 6"/>
    <w:basedOn w:val="957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5 Dark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5 Dark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5 Dark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Grid Table 5 Dark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Grid Table 5 Dark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Grid Table 5 Dark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Grid Table 5 Dark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6 Colorful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Grid Table 6 Colorful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Grid Table 6 Colorful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Grid Table 6 Colorful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Grid Table 6 Colorful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Grid Table 6 Colorful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Grid Table 6 Colorful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7 Colorful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Grid Table 7 Colorful - Accent 1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Grid Table 7 Colorful - Accent 2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Grid Table 7 Colorful - Accent 3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Grid Table 7 Colorful - Accent 4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Grid Table 7 Colorful - Accent 5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Grid Table 7 Colorful - Accent 6"/>
    <w:basedOn w:val="95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List Table 1 Light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1 Light - Accent 1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1 Light - Accent 2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List Table 1 Light - Accent 3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1 Light - Accent 4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1 Light - Accent 5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1 Light - Accent 6"/>
    <w:basedOn w:val="9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List Table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2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2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st Table 2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st Table 2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st Table 2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st Table 2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List Table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st Table 3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st Table 3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List Table 3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List Table 3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List Table 3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List Table 3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List Table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List Table 4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List Table 4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List Table 4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List Table 4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List Table 4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List Table 4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5 Dark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List Table 5 Dark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List Table 5 Dark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List Table 5 Dark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List Table 5 Dark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List Table 5 Dark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List Table 5 Dark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6 Colorful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List Table 6 Colorful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List Table 6 Colorful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List Table 6 Colorful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st Table 6 Colorful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List Table 6 Colorful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st Table 6 Colorful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7 Colorful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st Table 7 Colorful - Accent 1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st Table 7 Colorful - Accent 2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List Table 7 Colorful - Accent 3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List Table 7 Colorful - Accent 4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List Table 7 Colorful - Accent 5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List Table 7 Colorful - Accent 6"/>
    <w:basedOn w:val="957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Lined - Accent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Lined - Accent 1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Lined - Accent 2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Lined - Accent 3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Lined - Accent 4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Lined - Accent 5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Lined - Accent 6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Bordered &amp; Lined - Accent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Bordered &amp; Lined - Accent 1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Bordered &amp; Lined - Accent 2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Bordered &amp; Lined - Accent 3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Bordered &amp; Lined - Accent 4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Bordered &amp; Lined - Accent 5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Bordered &amp; Lined - Accent 6"/>
    <w:basedOn w:val="9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Bordered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Bordered - Accent 1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Bordered - Accent 2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Bordered - Accent 3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Bordered - Accent 4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Bordered - Accent 5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Bordered - Accent 6"/>
    <w:basedOn w:val="95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85" w:customStyle="1">
    <w:name w:val="Заголовок 1 Знак"/>
    <w:basedOn w:val="956"/>
    <w:link w:val="94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1086" w:customStyle="1">
    <w:name w:val="Заголовок 2 Знак"/>
    <w:basedOn w:val="956"/>
    <w:link w:val="94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1087" w:customStyle="1">
    <w:name w:val="Заголовок 3 Знак"/>
    <w:basedOn w:val="956"/>
    <w:link w:val="94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1088" w:customStyle="1">
    <w:name w:val="Заголовок 4 Знак"/>
    <w:basedOn w:val="956"/>
    <w:link w:val="95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1089" w:customStyle="1">
    <w:name w:val="Заголовок 5 Знак"/>
    <w:basedOn w:val="956"/>
    <w:link w:val="95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1090" w:customStyle="1">
    <w:name w:val="Заголовок 6 Знак"/>
    <w:basedOn w:val="956"/>
    <w:link w:val="95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91" w:customStyle="1">
    <w:name w:val="Заголовок 7 Знак"/>
    <w:basedOn w:val="956"/>
    <w:link w:val="95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92" w:customStyle="1">
    <w:name w:val="Заголовок 8 Знак"/>
    <w:basedOn w:val="956"/>
    <w:link w:val="95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93" w:customStyle="1">
    <w:name w:val="Заголовок 9 Знак"/>
    <w:basedOn w:val="956"/>
    <w:link w:val="9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94">
    <w:name w:val="Title"/>
    <w:basedOn w:val="946"/>
    <w:next w:val="946"/>
    <w:link w:val="109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95" w:customStyle="1">
    <w:name w:val="Заголовок Знак"/>
    <w:basedOn w:val="956"/>
    <w:link w:val="10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96">
    <w:name w:val="Subtitle"/>
    <w:basedOn w:val="946"/>
    <w:next w:val="946"/>
    <w:link w:val="109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97" w:customStyle="1">
    <w:name w:val="Подзаголовок Знак"/>
    <w:basedOn w:val="956"/>
    <w:link w:val="10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98">
    <w:name w:val="Quote"/>
    <w:basedOn w:val="946"/>
    <w:next w:val="946"/>
    <w:link w:val="10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99" w:customStyle="1">
    <w:name w:val="Цитата 2 Знак"/>
    <w:basedOn w:val="956"/>
    <w:link w:val="109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100">
    <w:name w:val="List Paragraph"/>
    <w:basedOn w:val="946"/>
    <w:uiPriority w:val="99"/>
    <w:qFormat/>
    <w:pPr>
      <w:pBdr/>
      <w:spacing/>
      <w:ind w:left="720"/>
      <w:contextualSpacing w:val="true"/>
    </w:pPr>
    <w:rPr>
      <w:rFonts w:eastAsia="Times New Roman"/>
      <w:lang w:eastAsia="ru-RU"/>
    </w:rPr>
  </w:style>
  <w:style w:type="character" w:styleId="1101">
    <w:name w:val="Intense Emphasis"/>
    <w:basedOn w:val="95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102">
    <w:name w:val="Intense Quote"/>
    <w:basedOn w:val="946"/>
    <w:next w:val="946"/>
    <w:link w:val="1103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103" w:customStyle="1">
    <w:name w:val="Выделенная цитата Знак"/>
    <w:basedOn w:val="956"/>
    <w:link w:val="1102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104">
    <w:name w:val="Intense Reference"/>
    <w:basedOn w:val="95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105">
    <w:name w:val="No Spacing"/>
    <w:basedOn w:val="946"/>
    <w:uiPriority w:val="1"/>
    <w:qFormat/>
    <w:pPr>
      <w:pBdr/>
      <w:spacing w:after="0" w:line="240" w:lineRule="auto"/>
      <w:ind/>
    </w:pPr>
  </w:style>
  <w:style w:type="character" w:styleId="1106">
    <w:name w:val="Subtle Emphasis"/>
    <w:basedOn w:val="95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07">
    <w:name w:val="Emphasis"/>
    <w:basedOn w:val="956"/>
    <w:uiPriority w:val="20"/>
    <w:qFormat/>
    <w:pPr>
      <w:pBdr/>
      <w:spacing/>
      <w:ind/>
    </w:pPr>
    <w:rPr>
      <w:i/>
      <w:iCs/>
    </w:rPr>
  </w:style>
  <w:style w:type="character" w:styleId="1108">
    <w:name w:val="Strong"/>
    <w:basedOn w:val="956"/>
    <w:uiPriority w:val="22"/>
    <w:qFormat/>
    <w:pPr>
      <w:pBdr/>
      <w:spacing/>
      <w:ind/>
    </w:pPr>
    <w:rPr>
      <w:b/>
      <w:bCs/>
    </w:rPr>
  </w:style>
  <w:style w:type="character" w:styleId="1109">
    <w:name w:val="Subtle Reference"/>
    <w:basedOn w:val="95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10">
    <w:name w:val="Book Title"/>
    <w:basedOn w:val="95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111">
    <w:name w:val="Header"/>
    <w:basedOn w:val="946"/>
    <w:link w:val="113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112" w:customStyle="1">
    <w:name w:val="Header Char"/>
    <w:basedOn w:val="956"/>
    <w:uiPriority w:val="99"/>
    <w:pPr>
      <w:pBdr/>
      <w:spacing/>
      <w:ind/>
    </w:pPr>
  </w:style>
  <w:style w:type="paragraph" w:styleId="1113">
    <w:name w:val="Footer"/>
    <w:basedOn w:val="946"/>
    <w:link w:val="113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114" w:customStyle="1">
    <w:name w:val="Footer Char"/>
    <w:basedOn w:val="956"/>
    <w:uiPriority w:val="99"/>
    <w:pPr>
      <w:pBdr/>
      <w:spacing/>
      <w:ind/>
    </w:pPr>
  </w:style>
  <w:style w:type="paragraph" w:styleId="1115">
    <w:name w:val="Caption"/>
    <w:basedOn w:val="946"/>
    <w:next w:val="946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1116">
    <w:name w:val="footnote text"/>
    <w:basedOn w:val="946"/>
    <w:link w:val="111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17" w:customStyle="1">
    <w:name w:val="Текст сноски Знак"/>
    <w:basedOn w:val="956"/>
    <w:link w:val="1116"/>
    <w:uiPriority w:val="99"/>
    <w:semiHidden/>
    <w:pPr>
      <w:pBdr/>
      <w:spacing/>
      <w:ind/>
    </w:pPr>
    <w:rPr>
      <w:sz w:val="20"/>
      <w:szCs w:val="20"/>
    </w:rPr>
  </w:style>
  <w:style w:type="character" w:styleId="1118">
    <w:name w:val="footnote reference"/>
    <w:basedOn w:val="956"/>
    <w:uiPriority w:val="99"/>
    <w:semiHidden/>
    <w:unhideWhenUsed/>
    <w:pPr>
      <w:pBdr/>
      <w:spacing/>
      <w:ind/>
    </w:pPr>
    <w:rPr>
      <w:vertAlign w:val="superscript"/>
    </w:rPr>
  </w:style>
  <w:style w:type="paragraph" w:styleId="1119">
    <w:name w:val="endnote text"/>
    <w:basedOn w:val="946"/>
    <w:link w:val="112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20" w:customStyle="1">
    <w:name w:val="Текст концевой сноски Знак"/>
    <w:basedOn w:val="956"/>
    <w:link w:val="1119"/>
    <w:uiPriority w:val="99"/>
    <w:semiHidden/>
    <w:pPr>
      <w:pBdr/>
      <w:spacing/>
      <w:ind/>
    </w:pPr>
    <w:rPr>
      <w:sz w:val="20"/>
      <w:szCs w:val="20"/>
    </w:rPr>
  </w:style>
  <w:style w:type="character" w:styleId="1121">
    <w:name w:val="endnote reference"/>
    <w:basedOn w:val="956"/>
    <w:uiPriority w:val="99"/>
    <w:semiHidden/>
    <w:unhideWhenUsed/>
    <w:pPr>
      <w:pBdr/>
      <w:spacing/>
      <w:ind/>
    </w:pPr>
    <w:rPr>
      <w:vertAlign w:val="superscript"/>
    </w:rPr>
  </w:style>
  <w:style w:type="character" w:styleId="1122">
    <w:name w:val="Hyperlink"/>
    <w:basedOn w:val="956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123">
    <w:name w:val="FollowedHyperlink"/>
    <w:basedOn w:val="95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124">
    <w:name w:val="toc 1"/>
    <w:basedOn w:val="946"/>
    <w:next w:val="946"/>
    <w:uiPriority w:val="39"/>
    <w:unhideWhenUsed/>
    <w:pPr>
      <w:pBdr/>
      <w:spacing w:after="100"/>
      <w:ind/>
    </w:pPr>
  </w:style>
  <w:style w:type="paragraph" w:styleId="1125">
    <w:name w:val="toc 2"/>
    <w:basedOn w:val="946"/>
    <w:next w:val="946"/>
    <w:uiPriority w:val="39"/>
    <w:unhideWhenUsed/>
    <w:pPr>
      <w:pBdr/>
      <w:spacing w:after="100"/>
      <w:ind w:left="220"/>
    </w:pPr>
  </w:style>
  <w:style w:type="paragraph" w:styleId="1126">
    <w:name w:val="toc 3"/>
    <w:basedOn w:val="946"/>
    <w:next w:val="946"/>
    <w:uiPriority w:val="39"/>
    <w:unhideWhenUsed/>
    <w:pPr>
      <w:pBdr/>
      <w:spacing w:after="100"/>
      <w:ind w:left="440"/>
    </w:pPr>
  </w:style>
  <w:style w:type="paragraph" w:styleId="1127">
    <w:name w:val="toc 4"/>
    <w:basedOn w:val="946"/>
    <w:next w:val="946"/>
    <w:uiPriority w:val="39"/>
    <w:unhideWhenUsed/>
    <w:pPr>
      <w:pBdr/>
      <w:spacing w:after="100"/>
      <w:ind w:left="660"/>
    </w:pPr>
  </w:style>
  <w:style w:type="paragraph" w:styleId="1128">
    <w:name w:val="toc 5"/>
    <w:basedOn w:val="946"/>
    <w:next w:val="946"/>
    <w:uiPriority w:val="39"/>
    <w:unhideWhenUsed/>
    <w:pPr>
      <w:pBdr/>
      <w:spacing w:after="100"/>
      <w:ind w:left="880"/>
    </w:pPr>
  </w:style>
  <w:style w:type="paragraph" w:styleId="1129">
    <w:name w:val="toc 6"/>
    <w:basedOn w:val="946"/>
    <w:next w:val="946"/>
    <w:uiPriority w:val="39"/>
    <w:unhideWhenUsed/>
    <w:pPr>
      <w:pBdr/>
      <w:spacing w:after="100"/>
      <w:ind w:left="1100"/>
    </w:pPr>
  </w:style>
  <w:style w:type="paragraph" w:styleId="1130">
    <w:name w:val="toc 7"/>
    <w:basedOn w:val="946"/>
    <w:next w:val="946"/>
    <w:uiPriority w:val="39"/>
    <w:unhideWhenUsed/>
    <w:pPr>
      <w:pBdr/>
      <w:spacing w:after="100"/>
      <w:ind w:left="1320"/>
    </w:pPr>
  </w:style>
  <w:style w:type="paragraph" w:styleId="1131">
    <w:name w:val="toc 8"/>
    <w:basedOn w:val="946"/>
    <w:next w:val="946"/>
    <w:uiPriority w:val="39"/>
    <w:unhideWhenUsed/>
    <w:pPr>
      <w:pBdr/>
      <w:spacing w:after="100"/>
      <w:ind w:left="1540"/>
    </w:pPr>
  </w:style>
  <w:style w:type="paragraph" w:styleId="1132">
    <w:name w:val="toc 9"/>
    <w:basedOn w:val="946"/>
    <w:next w:val="946"/>
    <w:uiPriority w:val="39"/>
    <w:unhideWhenUsed/>
    <w:pPr>
      <w:pBdr/>
      <w:spacing w:after="100"/>
      <w:ind w:left="1760"/>
    </w:pPr>
  </w:style>
  <w:style w:type="character" w:styleId="1133">
    <w:name w:val="Placeholder Text"/>
    <w:basedOn w:val="956"/>
    <w:uiPriority w:val="99"/>
    <w:semiHidden/>
    <w:pPr>
      <w:pBdr/>
      <w:spacing/>
      <w:ind/>
    </w:pPr>
    <w:rPr>
      <w:color w:val="666666"/>
    </w:rPr>
  </w:style>
  <w:style w:type="paragraph" w:styleId="1134">
    <w:name w:val="TOC Heading"/>
    <w:uiPriority w:val="39"/>
    <w:unhideWhenUsed/>
    <w:pPr>
      <w:pBdr/>
      <w:spacing/>
      <w:ind/>
    </w:pPr>
  </w:style>
  <w:style w:type="paragraph" w:styleId="1135">
    <w:name w:val="table of figures"/>
    <w:basedOn w:val="946"/>
    <w:next w:val="946"/>
    <w:uiPriority w:val="99"/>
    <w:unhideWhenUsed/>
    <w:pPr>
      <w:pBdr/>
      <w:spacing w:after="0"/>
      <w:ind/>
    </w:pPr>
  </w:style>
  <w:style w:type="paragraph" w:styleId="1136" w:customStyle="1">
    <w:name w:val="ConsPlusTitle"/>
    <w:uiPriority w:val="99"/>
    <w:pPr>
      <w:pBdr/>
      <w:spacing/>
      <w:ind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1137" w:customStyle="1">
    <w:name w:val="ConsPlusCell"/>
    <w:uiPriority w:val="99"/>
    <w:pPr>
      <w:pBdr/>
      <w:spacing/>
      <w:ind/>
    </w:pPr>
    <w:rPr>
      <w:rFonts w:ascii="Arial" w:hAnsi="Arial" w:cs="Arial"/>
      <w:lang w:eastAsia="en-US"/>
    </w:rPr>
  </w:style>
  <w:style w:type="character" w:styleId="1138" w:customStyle="1">
    <w:name w:val="Верхний колонтитул Знак"/>
    <w:basedOn w:val="956"/>
    <w:link w:val="1111"/>
    <w:uiPriority w:val="99"/>
    <w:pPr>
      <w:pBdr/>
      <w:spacing/>
      <w:ind/>
    </w:pPr>
  </w:style>
  <w:style w:type="character" w:styleId="1139" w:customStyle="1">
    <w:name w:val="Нижний колонтитул Знак"/>
    <w:basedOn w:val="956"/>
    <w:link w:val="1113"/>
    <w:uiPriority w:val="99"/>
    <w:pPr>
      <w:pBdr/>
      <w:spacing/>
      <w:ind/>
    </w:pPr>
  </w:style>
  <w:style w:type="paragraph" w:styleId="1140">
    <w:name w:val="Balloon Text"/>
    <w:basedOn w:val="946"/>
    <w:link w:val="1141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141" w:customStyle="1">
    <w:name w:val="Текст выноски Знак"/>
    <w:link w:val="114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142" w:customStyle="1">
    <w:name w:val="ConsPlusNormal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cs="Calibri" w:eastAsiaTheme="minorEastAsia"/>
      <w:sz w:val="22"/>
      <w:szCs w:val="22"/>
      <w:lang w:eastAsia="ru-RU"/>
    </w:rPr>
  </w:style>
  <w:style w:type="paragraph" w:styleId="1143" w:customStyle="1">
    <w:name w:val="Normal (Web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footer" Target="footer1.xml" /><Relationship Id="rId20" Type="http://schemas.openxmlformats.org/officeDocument/2006/relationships/footer" Target="footer2.xml" /><Relationship Id="rId21" Type="http://schemas.openxmlformats.org/officeDocument/2006/relationships/footer" Target="footer3.xml" /><Relationship Id="rId22" Type="http://schemas.openxmlformats.org/officeDocument/2006/relationships/footer" Target="footer4.xm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hyperlink" Target="consultantplus://offline/ref=D71C165BFED59AFB980A28C766C872523B496B13C8DF78A7DE7D00659E32567937028D51E9D1D73Dw828I" TargetMode="External"/><Relationship Id="rId26" Type="http://schemas.openxmlformats.org/officeDocument/2006/relationships/hyperlink" Target="consultantplus://offline/ref=D71C165BFED59AFB980A28C766C872523B496B13C8DF78A7DE7D00659E32567937028D51E9D1D432w829I" TargetMode="External"/><Relationship Id="rId27" Type="http://schemas.openxmlformats.org/officeDocument/2006/relationships/hyperlink" Target="consultantplus://offline/ref=D71C165BFED59AFB980A28C766C872523B496B13C8DF78A7DE7D00659E32567937028D51E9D1D73Dw820I" TargetMode="External"/><Relationship Id="rId28" Type="http://schemas.openxmlformats.org/officeDocument/2006/relationships/hyperlink" Target="consultantplus://offline/ref=D71C165BFED59AFB980A28C766C872523B496B13C8DF78A7DE7D00659E32567937028D51E9D1D73Cw82CI" TargetMode="External"/><Relationship Id="rId29" Type="http://schemas.openxmlformats.org/officeDocument/2006/relationships/hyperlink" Target="consultantplus://offline/ref=D71C165BFED59AFB980A28C766C872523B496B13C8DF78A7DE7D00659E32567937028D51E9D1D73Cw82EI" TargetMode="External"/><Relationship Id="rId30" Type="http://schemas.openxmlformats.org/officeDocument/2006/relationships/hyperlink" Target="consultantplus://offline/ref=D71C165BFED59AFB980A36CA70A42F5D31433116C2D172F083225B38C93B5C2E704DD413ADDCD33B893B10wA2A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mitrofanova</dc:creator>
  <cp:revision>11</cp:revision>
  <dcterms:created xsi:type="dcterms:W3CDTF">2024-08-22T06:11:00Z</dcterms:created>
  <dcterms:modified xsi:type="dcterms:W3CDTF">2026-06-26T11:48:27Z</dcterms:modified>
  <cp:version>1048576</cp:version>
</cp:coreProperties>
</file>