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27BD930" w14:textId="2E2F6776">
      <w:pPr>
        <w:pBdr/>
        <w:spacing w:after="0" w:line="240" w:lineRule="auto"/>
        <w:ind w:firstLine="283"/>
        <w:jc w:val="right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2447D5F0" w14:textId="77777777">
      <w:pPr>
        <w:pBdr/>
        <w:spacing w:after="0" w:line="240" w:lineRule="auto"/>
        <w:ind w:firstLine="283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72E7274F" w14:textId="77777777">
      <w:pPr>
        <w:pBdr/>
        <w:spacing w:after="0" w:line="240" w:lineRule="auto"/>
        <w:ind w:firstLine="283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28DBFAB6" w14:textId="77777777">
      <w:pPr>
        <w:pBdr/>
        <w:spacing w:after="0" w:line="240" w:lineRule="auto"/>
        <w:ind w:firstLine="283"/>
        <w:jc w:val="center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КАБИНЕТ МИНИСТРОВ РЕСПУБЛИКИ ТАТАРСТАН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1A2DD915" w14:textId="77777777">
      <w:pPr>
        <w:pBdr/>
        <w:spacing w:after="0" w:line="240" w:lineRule="auto"/>
        <w:ind w:firstLine="283"/>
        <w:jc w:val="center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6BEDC09C" w14:textId="77777777">
      <w:pPr>
        <w:pBdr/>
        <w:spacing w:after="0" w:line="240" w:lineRule="auto"/>
        <w:ind w:firstLine="283"/>
        <w:jc w:val="center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1B03138A" w14:textId="77777777">
      <w:pPr>
        <w:pBdr/>
        <w:spacing w:after="0" w:line="240" w:lineRule="auto"/>
        <w:ind w:firstLine="283"/>
        <w:jc w:val="center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60115A24" w14:textId="77777777">
      <w:pPr>
        <w:pBdr/>
        <w:spacing w:after="0" w:line="240" w:lineRule="auto"/>
        <w:ind w:firstLine="283"/>
        <w:jc w:val="center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14BBFC16" w14:textId="10B9A989">
      <w:pPr>
        <w:pBdr/>
        <w:spacing w:after="0" w:line="240" w:lineRule="auto"/>
        <w:ind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«__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_»_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______ 20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en-US"/>
        </w:rPr>
        <w:t xml:space="preserve">6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ab/>
        <w:t xml:space="preserve">№ ___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0AC285C7" w14:textId="77777777">
      <w:pPr>
        <w:pBdr/>
        <w:spacing w:after="0" w:line="240" w:lineRule="auto"/>
        <w:ind w:firstLine="283"/>
        <w:jc w:val="center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228583A0" w14:textId="1117E395">
      <w:pPr>
        <w:pBdr/>
        <w:spacing w:after="0" w:line="240" w:lineRule="auto"/>
        <w:ind w:right="4675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 внесении изменений в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Положение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о формировании государственного задания на оказание государственных услуг (выполнение работ) в отношении государственных учреждений и финансовом обеспечении выполнения государственного задания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, утвержденное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постановление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м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val="tt-RU" w:eastAsia="ru-RU"/>
        </w:rPr>
        <w:t xml:space="preserve">Кабинета Министров Республики Татарстан от 31.12.2015 № 1044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«О порядке формирования государственного задания на оказание государственных услуг (выполнение работ) в отношении государственных учреждений и финансового обеспечения выполнения государственного задания»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288F5FE9">
      <w:pPr>
        <w:pBdr/>
        <w:spacing w:after="0" w:line="240" w:lineRule="auto"/>
        <w:ind w:right="5526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77175635" w14:textId="77777777">
      <w:pPr>
        <w:pBdr/>
        <w:spacing w:after="0" w:line="240" w:lineRule="auto"/>
        <w:ind w:right="5526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55531B39" w14:textId="77777777">
      <w:pPr>
        <w:pBdr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целях повышения эффективности финансового обеспечения выполнения государственн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задани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государственными учреждениями Республики Татарстан, формирования межбюджетных отношений в Республике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Кабинет Министров Республики Татарстан ПОСТАНОВЛЯЕТ: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35126BBB">
      <w:pPr>
        <w:pStyle w:val="943"/>
        <w:pBdr/>
        <w:spacing w:after="0" w:afterAutospacing="0" w:line="312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7048502B" w14:textId="57DA10F1">
      <w:pPr>
        <w:pStyle w:val="943"/>
        <w:pBdr/>
        <w:spacing w:after="0" w:afterAutospacing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Внести в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Положение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о формировании государственного задания на оказание государственных услуг (выполнение работ) в отношении государственных учреждений и финансовом обеспечении выполнения государственного задания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, утвержденное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постановление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Кабинета Министров Республики Татарстан от 31.12.2015 № 1044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«О порядке формирования государственного задания на оказание государственных услуг (выполнение работ) в отношении государственных учреждений и финансового обеспечения выполнения государственного задания»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(с изменениями, внесенными постановлениями Кабинета Министров Республики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Татарстан от 08.04.2016 № 205, от 13.12.2018 № 1128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, от 25.06.2019 № 513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от 29.09.2023 №1203, от 06.10.2025 №799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 (далее – Положение)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411FB26E">
      <w:pPr>
        <w:pBdr/>
        <w:spacing w:after="0" w:afterAutospacing="0" w:line="360" w:lineRule="auto"/>
        <w:ind w:right="0" w:firstLine="709" w:left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 5 раздела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en-US"/>
        </w:rPr>
        <w:t xml:space="preserve">I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дополнить абзацами следующего содержания: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1DBD8A9">
      <w:pPr>
        <w:pBdr/>
        <w:spacing w:after="0" w:afterAutospacing="0" w:line="36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Для образовательных учреждений государственное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(муниципальное)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задание на очередной финансовый год формируется на основе комплектования 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1 сентября года, в котором определяется объем субвенций на очередной финансовый год и плановый период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151243A9">
      <w:pPr>
        <w:pBdr/>
        <w:spacing w:after="0" w:afterAutospacing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Отчет о выполнении государственного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(муниципального)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задания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образовательных учреждений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формируется по итогам истекшего учебного года. Показатели объема в отчете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о выполнении государственного (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муниципального)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задания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могут не совпадать с показателями в иных формах отчетности для образовательных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учреждений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, предусматривающих формирование показателе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й на определенную дату, поскольку государственное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(муниципальное)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задание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для образовательных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учреждений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утверждается с учетом учебного процесса в течение всего учебного года.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716D2C4B">
      <w:pPr>
        <w:pBdr/>
        <w:spacing w:after="0" w:afterAutospacing="0" w:line="360" w:lineRule="auto"/>
        <w:ind w:right="0" w:firstLine="709" w:left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пункт 6 раздела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en-US"/>
        </w:rPr>
        <w:t xml:space="preserve">I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дополнить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абзацем следующего содержания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5B1DE1AC">
      <w:pPr>
        <w:pBdr/>
        <w:spacing w:after="0" w:afterAutospacing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«Уменьшение количества воспитанников (учащихся) в образовательном учреждении во втором полугодии учебного года по при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чине выбытия из образовательного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учреждения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не является обязательным условием для внесения изменений в государственное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(муниципальное)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задание, поскольку в течение первого полугодия образовательная услуга была оказана в полном объеме, что и должно быть отражено в отчете об исполнении государственного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(муниципального)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задания. Исключением являются закрытие групп, классов, специальностей, этапов обучения.»;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980506A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риложени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6A78EC0B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tt-RU"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в пункте 2 слова «(указывается вид государственного учреждения из общероссийского базового перечня или регионального перечня)»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(указывается вид деятельности государственного учреждения из общероссийского базового перечня или регионального перечня услуг, работ)»</w:t>
      </w:r>
      <w:r>
        <w:rPr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 w14:paraId="73CE53DF" w14:textId="77777777">
      <w:pPr>
        <w:pStyle w:val="943"/>
        <w:pBdr/>
        <w:spacing w:after="0" w:line="312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ункт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 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.1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 3.2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части 1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7FDBAA9D">
      <w:pPr>
        <w:pStyle w:val="943"/>
        <w:pBdr/>
        <w:spacing w:after="0" w:line="312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3.1. Показатели, характеризующие качество государственной услуги </w:t>
      </w:r>
      <w:hyperlink w:tooltip="&lt;4&gt; Заполняется в соответствии с показателями, характеризующими качество услуг (работ), установленными в общероссийском базовом перечне или региональном перечне, а при их отсутствии или в дополнение к ним - показателями, характеризующими качество, установленными при необходимости органом, осуществляющим функции и полномочия учредителя государственных бюджетных или автономных учреждений, главным распорядителем средств государственного бюджета, в ведении которого находятся государственные казенные учрежден..." w:anchor="P662" w:history="1">
        <w:r>
          <w:rPr>
            <w:rFonts w:ascii="Times New Roman" w:hAnsi="Times New Roman" w:eastAsia="Times New Roman" w:cs="Times New Roman"/>
            <w:sz w:val="28"/>
            <w:szCs w:val="28"/>
            <w:highlight w:val="none"/>
            <w:lang w:val="tt-RU"/>
          </w:rPr>
          <w:t xml:space="preserve">&lt;4&gt;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tbl>
      <w:tblPr>
        <w:tblInd w:w="0" w:type="dxa"/>
        <w:tblW w:w="5000" w:type="pct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834"/>
        <w:gridCol w:w="834"/>
        <w:gridCol w:w="928"/>
        <w:gridCol w:w="741"/>
        <w:gridCol w:w="834"/>
        <w:gridCol w:w="797"/>
        <w:gridCol w:w="797"/>
        <w:gridCol w:w="427"/>
        <w:gridCol w:w="715"/>
        <w:gridCol w:w="613"/>
        <w:gridCol w:w="613"/>
        <w:gridCol w:w="617"/>
        <w:gridCol w:w="712"/>
      </w:tblGrid>
      <w:tr>
        <w:trPr/>
        <w:tc>
          <w:tcPr>
            <w:tcBorders/>
            <w:tcW w:w="725" w:type="dxa"/>
            <w:vMerge w:val="restart"/>
          </w:tcPr>
          <w:p w14:paraId="0F36EBA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Уникальный номер реестровой записи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2597" w:type="dxa"/>
          </w:tcPr>
          <w:p w14:paraId="52AB17E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содержание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1575" w:type="dxa"/>
          </w:tcPr>
          <w:p w14:paraId="6945326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условия (формы) оказания государственной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2021" w:type="dxa"/>
          </w:tcPr>
          <w:p w14:paraId="0FCE058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Показатель качества государственной услуги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1941" w:type="dxa"/>
          </w:tcPr>
          <w:p w14:paraId="483409C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Значение показателя качества государственной услуги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1328" w:type="dxa"/>
          </w:tcPr>
          <w:p w14:paraId="4798515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  <w:hyperlink w:tooltip="&lt;8&gt; Заполняется в соответствии с решением Кабинета Министров Республики Татарстан." w:anchor="P666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&lt;7&gt;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>
          <w:trHeight w:val="276"/>
        </w:trPr>
        <w:tc>
          <w:tcPr>
            <w:tcBorders/>
            <w:vMerge w:val="continue"/>
          </w:tcPr>
          <w:p w14:paraId="6D7AB9F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834" w:type="dxa"/>
            <w:vMerge w:val="restart"/>
          </w:tcPr>
          <w:p w14:paraId="78D09A5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743DCD1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  <w:vMerge w:val="restart"/>
          </w:tcPr>
          <w:p w14:paraId="591ED00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7A63AC1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28" w:type="dxa"/>
            <w:vMerge w:val="restart"/>
          </w:tcPr>
          <w:p w14:paraId="75AC8FC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641AE0F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1" w:type="dxa"/>
            <w:vMerge w:val="restart"/>
          </w:tcPr>
          <w:p w14:paraId="30166ED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18C13A2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  <w:vMerge w:val="restart"/>
          </w:tcPr>
          <w:p w14:paraId="20C3322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3F33E26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7" w:type="dxa"/>
            <w:vMerge w:val="restart"/>
          </w:tcPr>
          <w:p w14:paraId="02D414E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 показателя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1224" w:type="dxa"/>
          </w:tcPr>
          <w:p w14:paraId="354FBE6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16252415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5" w:type="dxa"/>
            <w:vMerge w:val="restart"/>
          </w:tcPr>
          <w:p w14:paraId="3EE8102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(очередной финансовый год)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  <w:vMerge w:val="restart"/>
          </w:tcPr>
          <w:p w14:paraId="152C410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(1-й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  <w:vMerge w:val="restart"/>
          </w:tcPr>
          <w:p w14:paraId="3B8BB15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(2-й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7" w:type="dxa"/>
            <w:vMerge w:val="restart"/>
          </w:tcPr>
          <w:p w14:paraId="235A87B0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процентах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2" w:type="dxa"/>
            <w:vMerge w:val="restart"/>
          </w:tcPr>
          <w:p w14:paraId="011015F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абсолютных показателях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vMerge w:val="continue"/>
          </w:tcPr>
          <w:p w14:paraId="44E87F2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55EE772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D659A5B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27FC96E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D44C604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D31C7E4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C39DF01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97" w:type="dxa"/>
          </w:tcPr>
          <w:p w14:paraId="624CFFC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427" w:type="dxa"/>
          </w:tcPr>
          <w:p w14:paraId="0AC6E06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код по </w:t>
            </w:r>
            <w:hyperlink r:id="rId1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ОКЕИ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</w:t>
            </w:r>
            <w:hyperlink w:tooltip="&lt;6&gt; Заполняется в соответствии с кодом, указанным в общероссийском базовом перечне или региональном перечне (при наличии)." w:anchor="P664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&lt;6&gt;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vMerge w:val="continue"/>
          </w:tcPr>
          <w:p w14:paraId="19F56035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6D114E53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DFB42F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CA1873A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1DA32869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725" w:type="dxa"/>
          </w:tcPr>
          <w:p w14:paraId="719DC1E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0BC6965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73881E60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28" w:type="dxa"/>
          </w:tcPr>
          <w:p w14:paraId="55EA5E8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1" w:type="dxa"/>
          </w:tcPr>
          <w:p w14:paraId="512222E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336A901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7" w:type="dxa"/>
          </w:tcPr>
          <w:p w14:paraId="61E3A7B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7" w:type="dxa"/>
          </w:tcPr>
          <w:p w14:paraId="7921458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427" w:type="dxa"/>
          </w:tcPr>
          <w:p w14:paraId="05C553D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5" w:type="dxa"/>
          </w:tcPr>
          <w:p w14:paraId="3D13A1D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</w:tcPr>
          <w:p w14:paraId="1C59B3F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</w:tcPr>
          <w:p w14:paraId="322B6F8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7" w:type="dxa"/>
          </w:tcPr>
          <w:p w14:paraId="0DDE89E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2" w:type="dxa"/>
          </w:tcPr>
          <w:p w14:paraId="4C901D9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725" w:type="dxa"/>
          </w:tcPr>
          <w:p w14:paraId="7C0083E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2713F61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228D99F1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28" w:type="dxa"/>
          </w:tcPr>
          <w:p w14:paraId="2BF0B092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1" w:type="dxa"/>
          </w:tcPr>
          <w:p w14:paraId="7F48937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62C47AF1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7" w:type="dxa"/>
          </w:tcPr>
          <w:p w14:paraId="752B5D71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7" w:type="dxa"/>
          </w:tcPr>
          <w:p w14:paraId="1D659CE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427" w:type="dxa"/>
          </w:tcPr>
          <w:p w14:paraId="6F231CA5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5" w:type="dxa"/>
          </w:tcPr>
          <w:p w14:paraId="512D544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</w:tcPr>
          <w:p w14:paraId="2B34ACB5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</w:tcPr>
          <w:p w14:paraId="0729310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7" w:type="dxa"/>
          </w:tcPr>
          <w:p w14:paraId="2CAC0E7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2" w:type="dxa"/>
          </w:tcPr>
          <w:p w14:paraId="2DDB89EF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725" w:type="dxa"/>
          </w:tcPr>
          <w:p w14:paraId="254A09D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07B2DD3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557CA5D1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28" w:type="dxa"/>
          </w:tcPr>
          <w:p w14:paraId="05288303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1" w:type="dxa"/>
          </w:tcPr>
          <w:p w14:paraId="7BB8D12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34" w:type="dxa"/>
          </w:tcPr>
          <w:p w14:paraId="4255583B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7" w:type="dxa"/>
          </w:tcPr>
          <w:p w14:paraId="4191F6D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7" w:type="dxa"/>
          </w:tcPr>
          <w:p w14:paraId="48F1BE87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427" w:type="dxa"/>
          </w:tcPr>
          <w:p w14:paraId="1171EFAB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5" w:type="dxa"/>
          </w:tcPr>
          <w:p w14:paraId="4327B5C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</w:tcPr>
          <w:p w14:paraId="51E8967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3" w:type="dxa"/>
          </w:tcPr>
          <w:p w14:paraId="32E9928A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17" w:type="dxa"/>
          </w:tcPr>
          <w:p w14:paraId="1BBF651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12" w:type="dxa"/>
          </w:tcPr>
          <w:p w14:paraId="4E425DA3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 w14:paraId="5E5C98E1">
      <w:pPr>
        <w:pBdr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 w14:paraId="18AAC6A5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3.2. Показатели, характеризующие объем государственной услуги: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2247BCE9">
      <w:pPr>
        <w:pStyle w:val="942"/>
        <w:pBdr/>
        <w:spacing/>
        <w:ind/>
        <w:jc w:val="both"/>
        <w:rPr>
          <w:highlight w:val="none"/>
        </w:rPr>
      </w:pPr>
      <w:r>
        <w:rPr>
          <w:sz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Ind w:w="0" w:type="dxa"/>
        <w:tblW w:w="5000" w:type="pct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64"/>
        <w:gridCol w:w="1088"/>
        <w:gridCol w:w="992"/>
        <w:gridCol w:w="1095"/>
        <w:gridCol w:w="1077"/>
        <w:gridCol w:w="1077"/>
        <w:gridCol w:w="794"/>
        <w:gridCol w:w="680"/>
        <w:gridCol w:w="881"/>
        <w:gridCol w:w="686"/>
        <w:gridCol w:w="850"/>
        <w:gridCol w:w="737"/>
        <w:gridCol w:w="737"/>
        <w:gridCol w:w="794"/>
        <w:gridCol w:w="760"/>
        <w:gridCol w:w="740"/>
        <w:gridCol w:w="850"/>
        <w:gridCol w:w="1020"/>
      </w:tblGrid>
      <w:tr>
        <w:trPr/>
        <w:tc>
          <w:tcPr>
            <w:tcBorders/>
            <w:tcW w:w="964" w:type="dxa"/>
            <w:vMerge w:val="restart"/>
          </w:tcPr>
          <w:p w14:paraId="4C0C417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Уникальный номер реестровой записи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3175" w:type="dxa"/>
          </w:tcPr>
          <w:p w14:paraId="48CC1F1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содержание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2154" w:type="dxa"/>
          </w:tcPr>
          <w:p w14:paraId="7BEEF1F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условия (формы) оказания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4"/>
            <w:tcBorders/>
            <w:tcW w:w="3041" w:type="dxa"/>
          </w:tcPr>
          <w:p w14:paraId="2C82F6E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Показатель объема государственной услуги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2324" w:type="dxa"/>
          </w:tcPr>
          <w:p w14:paraId="024238A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Значение показателя объема государственной услуги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2294" w:type="dxa"/>
          </w:tcPr>
          <w:p w14:paraId="5997B87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Размер платы (цена, тариф) </w:t>
            </w:r>
            <w:hyperlink w:tooltip="&lt;9&gt; Заполняется в случае, если оказание услуг (выполнение работ) осуществляется на платной основе в соответствии с законодательством Российской Федерации в рамках государственного задания. При оказании услуг (выполнении работ) на платной основе сверх установленного государственного задания указанный показатель не формируется." w:anchor="P667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&lt;8&gt;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1870" w:type="dxa"/>
          </w:tcPr>
          <w:p w14:paraId="5D72FDF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Допустимые (возможные) отклонения от установленных показателей объема государственной услуги </w:t>
            </w:r>
            <w:hyperlink w:tooltip="&lt;8&gt; Заполняется в соответствии с решением Кабинета Министров Республики Татарстан." w:anchor="P666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&lt;7&gt;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>
          <w:trHeight w:val="276"/>
        </w:trPr>
        <w:tc>
          <w:tcPr>
            <w:tcBorders/>
            <w:vMerge w:val="continue"/>
          </w:tcPr>
          <w:p w14:paraId="607DA0A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88" w:type="dxa"/>
            <w:vMerge w:val="restart"/>
          </w:tcPr>
          <w:p w14:paraId="1705188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01B4FA4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  <w:vMerge w:val="restart"/>
          </w:tcPr>
          <w:p w14:paraId="1C79AB5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4BD700C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  <w:vMerge w:val="restart"/>
          </w:tcPr>
          <w:p w14:paraId="75A418A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5F0BF68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  <w:vMerge w:val="restart"/>
          </w:tcPr>
          <w:p w14:paraId="79ADF0B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13634C2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  <w:vMerge w:val="restart"/>
          </w:tcPr>
          <w:p w14:paraId="296A7CF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76B70F35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  <w:vMerge w:val="restart"/>
          </w:tcPr>
          <w:p w14:paraId="0244508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 показателя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1163" w:type="dxa"/>
          </w:tcPr>
          <w:p w14:paraId="29AFA72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68618FB2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850" w:type="dxa"/>
            <w:vMerge w:val="restart"/>
          </w:tcPr>
          <w:p w14:paraId="168195C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(очередной финансовый год)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  <w:vMerge w:val="restart"/>
          </w:tcPr>
          <w:p w14:paraId="0F4840F5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(1-й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  <w:vMerge w:val="restart"/>
          </w:tcPr>
          <w:p w14:paraId="654C493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(2-й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  <w:vMerge w:val="restart"/>
          </w:tcPr>
          <w:p w14:paraId="6E9C652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(очередной финансовый год)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  <w:vMerge w:val="restart"/>
          </w:tcPr>
          <w:p w14:paraId="7F40D96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(1-й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  <w:vMerge w:val="restart"/>
          </w:tcPr>
          <w:p w14:paraId="5998445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(2-й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  <w:vMerge w:val="restart"/>
          </w:tcPr>
          <w:p w14:paraId="75595DE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процентах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  <w:vMerge w:val="restart"/>
          </w:tcPr>
          <w:p w14:paraId="5A4D6D8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абсолютных показателях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vMerge w:val="continue"/>
          </w:tcPr>
          <w:p w14:paraId="40BC5F2D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95D485A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3142B206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843D0B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127D463D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68F58A24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90E6078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680" w:type="dxa"/>
          </w:tcPr>
          <w:p w14:paraId="712098C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495" w:type="dxa"/>
          </w:tcPr>
          <w:p w14:paraId="3D2C58E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код по </w:t>
            </w:r>
            <w:hyperlink r:id="rId1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ОКЕИ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&lt;6&gt;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vMerge w:val="continue"/>
          </w:tcPr>
          <w:p w14:paraId="4EEFB298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1FDCC837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3ED3AA44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BFCB314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143E69B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9C5621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63E2A9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C7BB9A2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964" w:type="dxa"/>
          </w:tcPr>
          <w:p w14:paraId="779C72D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8" w:type="dxa"/>
          </w:tcPr>
          <w:p w14:paraId="76C4F7F5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</w:tcPr>
          <w:p w14:paraId="22E1C84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</w:tcPr>
          <w:p w14:paraId="623F8F9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08BAF16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7F3D7B6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769B563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0" w:type="dxa"/>
          </w:tcPr>
          <w:p w14:paraId="50E41D05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443" w:type="dxa"/>
          </w:tcPr>
          <w:p w14:paraId="3F46DD4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7934280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33B2922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5BD5889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0B6A118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</w:tcPr>
          <w:p w14:paraId="2F664D5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</w:tcPr>
          <w:p w14:paraId="77936C1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7AEB16F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</w:tcPr>
          <w:p w14:paraId="693BECD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17»;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964" w:type="dxa"/>
          </w:tcPr>
          <w:p w14:paraId="4C0F1827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8" w:type="dxa"/>
          </w:tcPr>
          <w:p w14:paraId="55F81957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</w:tcPr>
          <w:p w14:paraId="2071584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</w:tcPr>
          <w:p w14:paraId="0BE39E67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6188C01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7648C1C7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2B99F02A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0" w:type="dxa"/>
          </w:tcPr>
          <w:p w14:paraId="25755482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443" w:type="dxa"/>
          </w:tcPr>
          <w:p w14:paraId="61BF04F4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30BE1933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45886465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2B9E194B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0665D4A5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</w:tcPr>
          <w:p w14:paraId="72B492D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</w:tcPr>
          <w:p w14:paraId="5EC060C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2D6829FB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</w:tcPr>
          <w:p w14:paraId="6FEC18A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964" w:type="dxa"/>
          </w:tcPr>
          <w:p w14:paraId="1008A2E9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8" w:type="dxa"/>
          </w:tcPr>
          <w:p w14:paraId="47C6E3C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</w:tcPr>
          <w:p w14:paraId="5A838121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</w:tcPr>
          <w:p w14:paraId="43E48445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669C8C2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442677B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3E808A1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0" w:type="dxa"/>
          </w:tcPr>
          <w:p w14:paraId="59F3B942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443" w:type="dxa"/>
          </w:tcPr>
          <w:p w14:paraId="0052420A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45CBCFF5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23E80D9F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08BBFBC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660F1139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</w:tcPr>
          <w:p w14:paraId="05EAB772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</w:tcPr>
          <w:p w14:paraId="2D8AE1D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4517574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</w:tcPr>
          <w:p w14:paraId="03AD0F5F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 w14:paraId="5E27AFC3">
      <w:pPr>
        <w:pBdr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 w14:paraId="02E84B61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ункт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 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.1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 3.2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части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19302CE7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3.1. Показатели, характеризующие качество работы </w:t>
      </w:r>
      <w:hyperlink w:tooltip="&lt;4&gt; Заполняется в соответствии с показателями, характеризующими качество услуг (работ), установленными в общероссийском базовом перечне или региональном перечне, а при их отсутствии или в дополнение к ним - показателями, характеризующими качество, установленными при необходимости органом, осуществляющим функции и полномочия учредителя государственных бюджетных или автономных учреждений, главным распорядителем средств государственного бюджета, в ведении которого находятся государственные казенные учрежден..." w:anchor="P662" w:history="1">
        <w:r>
          <w:rPr>
            <w:rFonts w:ascii="Times New Roman" w:hAnsi="Times New Roman" w:eastAsia="Times New Roman" w:cs="Times New Roman"/>
            <w:sz w:val="28"/>
            <w:szCs w:val="28"/>
            <w:highlight w:val="none"/>
            <w:lang w:val="tt-RU"/>
          </w:rPr>
          <w:t xml:space="preserve">&lt;4&gt;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tbl>
      <w:tblPr>
        <w:tblInd w:w="0" w:type="dxa"/>
        <w:tblW w:w="5000" w:type="pct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84"/>
        <w:gridCol w:w="1134"/>
        <w:gridCol w:w="1134"/>
        <w:gridCol w:w="1134"/>
        <w:gridCol w:w="1134"/>
        <w:gridCol w:w="1134"/>
        <w:gridCol w:w="1084"/>
        <w:gridCol w:w="964"/>
        <w:gridCol w:w="844"/>
        <w:gridCol w:w="844"/>
        <w:gridCol w:w="814"/>
        <w:gridCol w:w="866"/>
        <w:gridCol w:w="928"/>
        <w:gridCol w:w="918"/>
        <w:gridCol w:w="1077"/>
      </w:tblGrid>
      <w:tr>
        <w:trPr/>
        <w:tc>
          <w:tcPr>
            <w:tcBorders/>
            <w:tcW w:w="1084" w:type="dxa"/>
            <w:vMerge w:val="restart"/>
          </w:tcPr>
          <w:p w14:paraId="3825A37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Уникальный номер реестровой записи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3402" w:type="dxa"/>
          </w:tcPr>
          <w:p w14:paraId="7299579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содержание работы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2268" w:type="dxa"/>
          </w:tcPr>
          <w:p w14:paraId="31DB38B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условия (формы) выполнения работы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4"/>
            <w:tcBorders/>
            <w:tcW w:w="3736" w:type="dxa"/>
          </w:tcPr>
          <w:p w14:paraId="7D33C22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Показатель качества работы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2608" w:type="dxa"/>
          </w:tcPr>
          <w:p w14:paraId="71DDB84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Значение показателя качества работы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1995" w:type="dxa"/>
          </w:tcPr>
          <w:p w14:paraId="285B5D8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Допустимые (возможные) отклонения от установленных показателей качества работы </w:t>
            </w:r>
            <w:hyperlink w:tooltip="&lt;8&gt; Заполняется в соответствии с решением Кабинета Министров Республики Татарстан." w:anchor="P666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&lt;7&gt;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>
          <w:trHeight w:val="276"/>
        </w:trPr>
        <w:tc>
          <w:tcPr>
            <w:tcBorders/>
            <w:vMerge w:val="continue"/>
          </w:tcPr>
          <w:p w14:paraId="5C565365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134" w:type="dxa"/>
            <w:vMerge w:val="restart"/>
          </w:tcPr>
          <w:p w14:paraId="1A62F830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10E0E4A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  <w:vMerge w:val="restart"/>
          </w:tcPr>
          <w:p w14:paraId="72C1B74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46B9EFE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  <w:vMerge w:val="restart"/>
          </w:tcPr>
          <w:p w14:paraId="4643D52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6162526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  <w:vMerge w:val="restart"/>
          </w:tcPr>
          <w:p w14:paraId="3857DC5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7A85EE6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  <w:vMerge w:val="restart"/>
          </w:tcPr>
          <w:p w14:paraId="3BDCF91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4231086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4" w:type="dxa"/>
            <w:vMerge w:val="restart"/>
          </w:tcPr>
          <w:p w14:paraId="7A8ECA6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 показателя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1447" w:type="dxa"/>
          </w:tcPr>
          <w:p w14:paraId="45340B5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единица измерения по </w:t>
            </w:r>
            <w:hyperlink r:id="rId1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012B71D3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814" w:type="dxa"/>
            <w:vMerge w:val="restart"/>
          </w:tcPr>
          <w:p w14:paraId="347FE0F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(очередной финансовый год)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66" w:type="dxa"/>
            <w:vMerge w:val="restart"/>
          </w:tcPr>
          <w:p w14:paraId="65B0958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(1-й год планового периода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28" w:type="dxa"/>
            <w:vMerge w:val="restart"/>
          </w:tcPr>
          <w:p w14:paraId="5C5CB5F0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(2-й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18" w:type="dxa"/>
            <w:vMerge w:val="restart"/>
          </w:tcPr>
          <w:p w14:paraId="0E17683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процентах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  <w:vMerge w:val="restart"/>
          </w:tcPr>
          <w:p w14:paraId="7E10EDC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абсолютных показателях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vMerge w:val="continue"/>
          </w:tcPr>
          <w:p w14:paraId="40DF22F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D2E7809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3799026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24A5B755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2AA130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5E623C48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DBA19B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964" w:type="dxa"/>
          </w:tcPr>
          <w:p w14:paraId="7EDB135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657" w:type="dxa"/>
          </w:tcPr>
          <w:p w14:paraId="715C829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код по </w:t>
            </w:r>
            <w:hyperlink r:id="rId14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ОКЕИ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</w:t>
            </w:r>
            <w:hyperlink w:tooltip="&lt;6&gt; Заполняется в соответствии с кодом, указанным в общероссийском базовом перечне или региональном перечне (при наличии)." w:anchor="P664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&lt;6&gt;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vMerge w:val="continue"/>
          </w:tcPr>
          <w:p w14:paraId="2D957D3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72CC20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6373FF51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1D2A7A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32468C96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1084" w:type="dxa"/>
          </w:tcPr>
          <w:p w14:paraId="54D3C01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387C2C4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70EFEC6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4A05FF4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401AEBD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5FBBB5F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4" w:type="dxa"/>
          </w:tcPr>
          <w:p w14:paraId="3D5038A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64" w:type="dxa"/>
          </w:tcPr>
          <w:p w14:paraId="082221E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490" w:type="dxa"/>
          </w:tcPr>
          <w:p w14:paraId="332E2B7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14" w:type="dxa"/>
          </w:tcPr>
          <w:p w14:paraId="1DB38740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66" w:type="dxa"/>
          </w:tcPr>
          <w:p w14:paraId="0B0A2CA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28" w:type="dxa"/>
          </w:tcPr>
          <w:p w14:paraId="6016239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18" w:type="dxa"/>
          </w:tcPr>
          <w:p w14:paraId="1AEFF5F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4DC2CB5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1084" w:type="dxa"/>
          </w:tcPr>
          <w:p w14:paraId="2662C182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2A13131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35D1F35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2686703A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5273DADB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34" w:type="dxa"/>
          </w:tcPr>
          <w:p w14:paraId="26FEF27B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4" w:type="dxa"/>
          </w:tcPr>
          <w:p w14:paraId="5A7B5DC7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64" w:type="dxa"/>
          </w:tcPr>
          <w:p w14:paraId="4E9788C4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490" w:type="dxa"/>
          </w:tcPr>
          <w:p w14:paraId="1EC45D8C">
            <w:pPr>
              <w:pStyle w:val="942"/>
              <w:pBdr/>
              <w:spacing/>
              <w:ind/>
              <w:rPr>
                <w:rFonts w:ascii="Times New Roman" w:hAnsi="Times New Roman" w:cs="Times New Roman"/>
                <w:color w:val="ff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14" w:type="dxa"/>
          </w:tcPr>
          <w:p w14:paraId="4596DF79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66" w:type="dxa"/>
          </w:tcPr>
          <w:p w14:paraId="37CA284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28" w:type="dxa"/>
          </w:tcPr>
          <w:p w14:paraId="3AB832F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18" w:type="dxa"/>
          </w:tcPr>
          <w:p w14:paraId="2BED4B0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684AF952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 w14:paraId="3D11167A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33F75B62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3.2. Показатели, характеризующие объем работы: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15E6AD9C">
      <w:pPr>
        <w:pStyle w:val="942"/>
        <w:pBdr/>
        <w:spacing/>
        <w:ind/>
        <w:jc w:val="both"/>
        <w:rPr>
          <w:highlight w:val="none"/>
        </w:rPr>
      </w:pPr>
      <w:r>
        <w:rPr>
          <w:sz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Ind w:w="0" w:type="dxa"/>
        <w:tblW w:w="5000" w:type="pct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64"/>
        <w:gridCol w:w="1088"/>
        <w:gridCol w:w="992"/>
        <w:gridCol w:w="1095"/>
        <w:gridCol w:w="1077"/>
        <w:gridCol w:w="1077"/>
        <w:gridCol w:w="794"/>
        <w:gridCol w:w="680"/>
        <w:gridCol w:w="881"/>
        <w:gridCol w:w="686"/>
        <w:gridCol w:w="850"/>
        <w:gridCol w:w="737"/>
        <w:gridCol w:w="737"/>
        <w:gridCol w:w="794"/>
        <w:gridCol w:w="760"/>
        <w:gridCol w:w="740"/>
        <w:gridCol w:w="850"/>
        <w:gridCol w:w="1020"/>
      </w:tblGrid>
      <w:tr>
        <w:trPr/>
        <w:tc>
          <w:tcPr>
            <w:tcBorders/>
            <w:tcW w:w="964" w:type="dxa"/>
            <w:vMerge w:val="restart"/>
          </w:tcPr>
          <w:p w14:paraId="32C5B22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Уникальный номер реестровой записи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3175" w:type="dxa"/>
          </w:tcPr>
          <w:p w14:paraId="08E35670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содержание работы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2154" w:type="dxa"/>
          </w:tcPr>
          <w:p w14:paraId="4EF8520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Показатель, характеризующий условия (формы) выполнения работы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(по справочникам)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gridSpan w:val="4"/>
            <w:tcBorders/>
            <w:tcW w:w="3041" w:type="dxa"/>
          </w:tcPr>
          <w:p w14:paraId="37186E5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Показатель объема работы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2324" w:type="dxa"/>
          </w:tcPr>
          <w:p w14:paraId="141864F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Значение показателя объема работы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3"/>
            <w:tcBorders/>
            <w:tcW w:w="2294" w:type="dxa"/>
          </w:tcPr>
          <w:p w14:paraId="3CE654E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Размер платы (цена, тариф)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&lt;8&gt;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1870" w:type="dxa"/>
          </w:tcPr>
          <w:p w14:paraId="75770EF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Допустимые (возможные) отклонения от установленных показателей объема работы </w:t>
            </w:r>
            <w:hyperlink w:tooltip="&lt;8&gt; Заполняется в соответствии с решением Кабинета Министров Республики Татарстан." w:anchor="P666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&lt;7&gt;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>
          <w:trHeight w:val="276"/>
        </w:trPr>
        <w:tc>
          <w:tcPr>
            <w:tcBorders/>
            <w:vMerge w:val="continue"/>
          </w:tcPr>
          <w:p w14:paraId="5BB01BC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88" w:type="dxa"/>
            <w:vMerge w:val="restart"/>
          </w:tcPr>
          <w:p w14:paraId="1CC61B5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6E0D1633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  <w:vMerge w:val="restart"/>
          </w:tcPr>
          <w:p w14:paraId="33163385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7CFA30A0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  <w:vMerge w:val="restart"/>
          </w:tcPr>
          <w:p w14:paraId="702AE97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304EE36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  <w:vMerge w:val="restart"/>
          </w:tcPr>
          <w:p w14:paraId="3A8169B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3CFFD3A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</w:t>
            </w:r>
            <w:hyperlink w:tooltip="&lt;5&gt; Заполняется в соответствии с общероссийскими базовыми перечнями или региональным перечнем." w:anchor="P663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&lt;5&gt;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  <w:vMerge w:val="restart"/>
          </w:tcPr>
          <w:p w14:paraId="233725B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_____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35340CA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(наименование показателя)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  <w:vMerge w:val="restart"/>
          </w:tcPr>
          <w:p w14:paraId="49BE117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 показателя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Borders/>
            <w:tcW w:w="1561" w:type="dxa"/>
          </w:tcPr>
          <w:p w14:paraId="7207D40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6" w:type="dxa"/>
            <w:vMerge w:val="restart"/>
          </w:tcPr>
          <w:p w14:paraId="2CB3DFB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описание работы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5E8BF415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highlight w:val="none"/>
              </w:rPr>
            </w:r>
            <w:hyperlink w:tooltip="&lt;7&gt; Заполняется в случае установления органом, осуществляющим функции и полномочия учредителя, требования о завершении выполнения государственного задания в определенный срок внутри календарного года с проставлением даты завершения (с указанием месяца и года)." w:anchor="P665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&lt;6.1&gt;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 w14:paraId="2DF66E4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  <w:vMerge w:val="restart"/>
          </w:tcPr>
          <w:p w14:paraId="5DB2853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(очередной финансовый год)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  <w:vMerge w:val="restart"/>
          </w:tcPr>
          <w:p w14:paraId="688F896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(1-й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  <w:vMerge w:val="restart"/>
          </w:tcPr>
          <w:p w14:paraId="3A5EA97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(2-й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  <w:vMerge w:val="restart"/>
          </w:tcPr>
          <w:p w14:paraId="68F2C8D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(очередной финансовый год)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  <w:vMerge w:val="restart"/>
          </w:tcPr>
          <w:p w14:paraId="52B3452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(1-й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  <w:vMerge w:val="restart"/>
          </w:tcPr>
          <w:p w14:paraId="528F9DD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20__ год (2-й год планового периода)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  <w:vMerge w:val="restart"/>
          </w:tcPr>
          <w:p w14:paraId="29BFE27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процентах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  <w:vMerge w:val="restart"/>
          </w:tcPr>
          <w:p w14:paraId="055721B1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в абсолютных показателях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vMerge w:val="continue"/>
          </w:tcPr>
          <w:p w14:paraId="538E2B1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2F237613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489AB3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2C21DE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26C86C86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0CEEBB3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176C80C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680" w:type="dxa"/>
          </w:tcPr>
          <w:p w14:paraId="406D178A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наименование &lt;5&gt;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81" w:type="dxa"/>
          </w:tcPr>
          <w:p w14:paraId="1E254ACE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код по </w:t>
            </w:r>
            <w:hyperlink r:id="rId1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ОКЕИ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</w:t>
            </w:r>
            <w:hyperlink w:tooltip="&lt;6&gt; Заполняется в соответствии с кодом, указанным в общероссийском базовом перечне или региональном перечне (при наличии)." w:anchor="P664" w:history="1">
              <w:r>
                <w:rPr>
                  <w:rFonts w:ascii="Times New Roman" w:hAnsi="Times New Roman" w:eastAsia="Times New Roman" w:cs="Times New Roman"/>
                  <w:color w:val="0000ff"/>
                  <w:sz w:val="22"/>
                  <w:szCs w:val="22"/>
                  <w:highlight w:val="none"/>
                </w:rPr>
                <w:t xml:space="preserve">&lt;6&gt;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vMerge w:val="continue"/>
          </w:tcPr>
          <w:p w14:paraId="3E3D2C58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64FE8EE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71F3BE3B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31AE5EF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6B945EDD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56EA3998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4A221C2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67166B8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vMerge w:val="continue"/>
          </w:tcPr>
          <w:p w14:paraId="47ADDD1E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964" w:type="dxa"/>
          </w:tcPr>
          <w:p w14:paraId="62C07F8C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8" w:type="dxa"/>
          </w:tcPr>
          <w:p w14:paraId="51D6A9C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</w:tcPr>
          <w:p w14:paraId="3987223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</w:tcPr>
          <w:p w14:paraId="70FA2102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4BD673FD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3E90A5A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0B5D64E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0" w:type="dxa"/>
          </w:tcPr>
          <w:p w14:paraId="7502FE4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81" w:type="dxa"/>
          </w:tcPr>
          <w:p w14:paraId="1C3AE858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6" w:type="dxa"/>
          </w:tcPr>
          <w:p w14:paraId="3E435A6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282A1186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51A6EAA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6EDBD1F7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4ED6F05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</w:tcPr>
          <w:p w14:paraId="2CB653DB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</w:tcPr>
          <w:p w14:paraId="072DE91F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240D1544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</w:tcPr>
          <w:p w14:paraId="18E73E39">
            <w:pPr>
              <w:pStyle w:val="942"/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18»;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964" w:type="dxa"/>
          </w:tcPr>
          <w:p w14:paraId="565E938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8" w:type="dxa"/>
          </w:tcPr>
          <w:p w14:paraId="3FAFE10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</w:tcPr>
          <w:p w14:paraId="2F8CD7F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</w:tcPr>
          <w:p w14:paraId="748553F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0BD7055A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25D001E3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0F148329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0" w:type="dxa"/>
          </w:tcPr>
          <w:p w14:paraId="094487B3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81" w:type="dxa"/>
          </w:tcPr>
          <w:p w14:paraId="7EC3A288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6" w:type="dxa"/>
          </w:tcPr>
          <w:p w14:paraId="28549F89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7E45DC5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279ED874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6EAF14BC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6A68AA62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</w:tcPr>
          <w:p w14:paraId="3B0AE715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</w:tcPr>
          <w:p w14:paraId="423F4B8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3188E6B7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</w:tcPr>
          <w:p w14:paraId="16E6CF2F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964" w:type="dxa"/>
          </w:tcPr>
          <w:p w14:paraId="2FB913F4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88" w:type="dxa"/>
          </w:tcPr>
          <w:p w14:paraId="03979AC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992" w:type="dxa"/>
          </w:tcPr>
          <w:p w14:paraId="11775281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95" w:type="dxa"/>
          </w:tcPr>
          <w:p w14:paraId="003BE04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6AAE985A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77" w:type="dxa"/>
          </w:tcPr>
          <w:p w14:paraId="4E55CB30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2E49908E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0" w:type="dxa"/>
          </w:tcPr>
          <w:p w14:paraId="50968A5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81" w:type="dxa"/>
          </w:tcPr>
          <w:p w14:paraId="4D012224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686" w:type="dxa"/>
          </w:tcPr>
          <w:p w14:paraId="0082F8D9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10E4293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56F5DA5F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37" w:type="dxa"/>
          </w:tcPr>
          <w:p w14:paraId="570F1FF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94" w:type="dxa"/>
          </w:tcPr>
          <w:p w14:paraId="42C7E0D5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60" w:type="dxa"/>
          </w:tcPr>
          <w:p w14:paraId="6A4729BD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740" w:type="dxa"/>
          </w:tcPr>
          <w:p w14:paraId="2452EE96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850" w:type="dxa"/>
          </w:tcPr>
          <w:p w14:paraId="0C1E0D69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020" w:type="dxa"/>
          </w:tcPr>
          <w:p w14:paraId="0D38FBF3">
            <w:pPr>
              <w:pStyle w:val="942"/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 w14:paraId="6D66851C">
      <w:pPr>
        <w:pBdr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 w14:paraId="26581AA7">
      <w:pPr>
        <w:pStyle w:val="942"/>
        <w:pBdr/>
        <w:spacing w:line="360" w:lineRule="auto"/>
        <w:ind w:firstLine="540"/>
        <w:jc w:val="both"/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Примечание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eastAsia="ru-RU"/>
        </w:rPr>
        <w:t xml:space="preserve">в следующей редакции:</w:t>
      </w:r>
      <w:r>
        <w:rPr>
          <w:highlight w:val="none"/>
        </w:rPr>
      </w:r>
      <w:r>
        <w:rPr>
          <w:highlight w:val="none"/>
        </w:rPr>
      </w:r>
    </w:p>
    <w:p w14:paraId="7F8753A9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«</w:t>
      </w:r>
      <w:bookmarkStart w:id="659" w:name="P659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59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&lt;1&gt; Номер государственн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ого задания присваивается в единой межведомственной системе формирования информационного ресурса планирования и мониторинга оказания государственных и муниципальных услуг, предоставляемых государственными и муниципальными учреждениями Республики Татарстан.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4C17332B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0" w:name="P660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0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&lt;2&gt; Заполняется в случае досрочного прекращения выполнения государственного задания.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59A738D4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1" w:name="P661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1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&lt;3&gt; Формируется при установлении государственного задания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на оказание государственной услуги (услуг) и выполнение работы (работ) и содержит требования к оказанию государственной услуги (услуг) и выполнению работы (работ) раздельно по каждой из государственных услуг (работ) с указанием порядкового номера раздела.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1EECBD16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2" w:name="P662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2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&lt;4&gt; Заполняется в соотве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тствии с показателями, характеризующими качество услуг (работ), установленными в общероссийском базовом перечне или региональном перечне, а при их отсутствии или в дополнение к ним - показателями, характеризующими качество, установленными при необходимости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органом, осуществляющим функции и полномочия учредителя государственных бюджетных или автономных учреждений, главным распорядителем средств государственного бюджета, в ведении которого находятся государственные казенные учреждения, и единицы их измерения.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70825C6F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3" w:name="P663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3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&lt;5&gt; Заполняется в соответствии с общероссийскими базовыми перечнями или региональным перечнем.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5982476F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4" w:name="P664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4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&lt;6&gt; Заполняется в соответствии с кодом, указанным в общероссийском базовом перечне или региональном перечне (при наличии).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4ADC0514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.1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&gt;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Для работ по проведению научных исследований (разработок)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выполняемых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государственным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научным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бюджетным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учреждени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Наименования научных тем научных исследований (разработок) прив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одятся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в приложении к государственному заданию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71D3D5E0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6" w:name="P666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6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&gt; Заполняется в соответствии с решением Кабинета Министров Республики Татарстан.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358C1038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7" w:name="P667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7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&gt; Заполняется в случае, если оказание услуг (выполнение работ) осущес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твляется на платной основе в соответствии с законодательством Российской Федерации в рамках государственного задания. При оказании услуг (выполнении работ) на платной основе сверх установленного государственного задания указанный показатель не формируется.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55F79823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8" w:name="P668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8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&gt; Заполняется в целом по государственному заданию.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1D05E0FA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Start w:id="669" w:name="P669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bookmarkEnd w:id="669"/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&lt;1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&gt; В числе иных показателей может быть указано допустимое (возможное) отклонение от выполнения государственного задания в соотв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етствии с решением Кабинета Министров Республики Татарстан, в пределах которого оно считается выполненным. В этом случае допустимые (возможные) отклонения, предусмотренные в подпунктах 3.1 и 3.2 пункта 3 настоящего государственного задания, не заполняются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.»;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4EBF1D7F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в части 3: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12DB4193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изло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жить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26365689">
      <w:pPr>
        <w:pStyle w:val="9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Часть 3. Прочие сведения о государственном задании </w:t>
      </w:r>
      <w:hyperlink r:id="rId16" w:tooltip="https://login.consultant.ru/link/?req=doc&amp;base=RLAW363&amp;n=192958&amp;dst=100680&amp;field=134&amp;date=08.05.2026" w:history="1">
        <w:r>
          <w:rPr>
            <w:rFonts w:ascii="Times New Roman" w:hAnsi="Times New Roman" w:eastAsia="Times New Roman" w:cs="Times New Roman"/>
            <w:sz w:val="28"/>
            <w:szCs w:val="28"/>
            <w:highlight w:val="none"/>
            <w:lang w:val="tt-RU"/>
          </w:rPr>
          <w:t xml:space="preserve">&lt;9&gt;»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5E53FC78">
      <w:pPr>
        <w:pStyle w:val="942"/>
        <w:pBdr/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ункт 5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1DE68C4C">
      <w:pPr>
        <w:pStyle w:val="9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5. Иные показатели, связанные с выполнением государственного задания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 w:bidi="tt-RU"/>
        </w:rPr>
      </w:r>
      <w:hyperlink r:id="rId17" w:tooltip="https://login.consultant.ru/link/?req=doc&amp;base=RLAW363&amp;n=192958&amp;dst=100680&amp;field=134&amp;date=08.05.2026" w:history="1">
        <w:r>
          <w:rPr>
            <w:rFonts w:ascii="Times New Roman" w:hAnsi="Times New Roman" w:eastAsia="Times New Roman" w:cs="Times New Roman"/>
            <w:sz w:val="28"/>
            <w:szCs w:val="28"/>
            <w:highlight w:val="none"/>
            <w:lang w:val="tt-RU"/>
          </w:rPr>
          <w:t xml:space="preserve">&lt;10&gt;»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 w14:paraId="0BFAAF0E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tt-RU"/>
        </w:rPr>
        <w:t xml:space="preserve">риложени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tt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 w14:paraId="48154553">
      <w:pPr>
        <w:pStyle w:val="943"/>
        <w:pBdr/>
        <w:spacing w:after="0" w:line="360" w:lineRule="auto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tt-RU"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в пункте 2 слова «(указывается вид государственного учреждения из общероссийского базового перечня или регионального перечня)»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(указывается вид деятельности государственного учреждения из общероссийского базового перечня или регионального перечня услуг, работ)»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 w14:paraId="528494AF" w14:textId="41BA67A7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7273B53" w14:textId="271BA7D6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B02778F" w14:textId="77777777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4348E87F" w14:textId="77777777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Премьер-министр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F0C31B1" w14:textId="77777777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А.В.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Песошин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963D490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4C451890">
      <w:pPr>
        <w:pBdr/>
        <w:spacing w:after="0" w:line="240" w:lineRule="auto"/>
        <w:ind/>
        <w:jc w:val="left"/>
        <w:outlineLvl w:val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2420DADE" w14:textId="77777777">
      <w:pPr>
        <w:pBdr/>
        <w:spacing w:after="0" w:line="240" w:lineRule="auto"/>
        <w:ind/>
        <w:jc w:val="left"/>
        <w:outlineLvl w:val="0"/>
        <w:rPr>
          <w:rFonts w:ascii="Times New Roman" w:hAnsi="Times New Roman" w:eastAsia="Times New Roman" w:cs="Times New Roman"/>
          <w:sz w:val="28"/>
          <w:szCs w:val="28"/>
          <w:highlight w:val="none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0C6AFEA6">
      <w:pPr>
        <w:pBdr/>
        <w:spacing w:after="0" w:line="264" w:lineRule="auto"/>
        <w:ind w:right="0" w:firstLine="0" w:left="0"/>
        <w:jc w:val="center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47D10DA3">
      <w:pPr>
        <w:pBdr/>
        <w:spacing w:after="0" w:line="264" w:lineRule="auto"/>
        <w:ind w:right="0" w:firstLine="0" w:left="0"/>
        <w:jc w:val="center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5BACB620">
      <w:pPr>
        <w:pBdr/>
        <w:spacing w:after="0" w:line="264" w:lineRule="auto"/>
        <w:ind w:right="0" w:firstLine="0" w:left="0"/>
        <w:jc w:val="center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sz w:val="28"/>
          <w:szCs w:val="28"/>
          <w:highlight w:val="none"/>
        </w:rPr>
        <w:t xml:space="preserve"> внесении изменений в Положение о формировании государственного задания на оказание государственных услуг (выполнение работ) в отношении государственных учреждений и финансовом обеспечении выполнения государственного задания, утвержденное постановлением Ка</w:t>
      </w:r>
      <w:r>
        <w:rPr>
          <w:rFonts w:ascii="Times New Roman" w:hAnsi="Times New Roman"/>
          <w:sz w:val="28"/>
          <w:szCs w:val="28"/>
          <w:highlight w:val="none"/>
        </w:rPr>
        <w:t xml:space="preserve">б</w:t>
      </w:r>
      <w:r>
        <w:rPr>
          <w:rFonts w:ascii="Times New Roman" w:hAnsi="Times New Roman"/>
          <w:sz w:val="28"/>
          <w:szCs w:val="28"/>
          <w:highlight w:val="none"/>
        </w:rPr>
        <w:t xml:space="preserve">инета Министров Республики Татарстан от 31.12.2015 № 1044 «О порядке формирования государственного задания на оказание государственных услуг (выполнение работ) в отношении государственных учреждений и финансового обеспечения выполнения государственного зад</w:t>
      </w:r>
      <w:r>
        <w:rPr>
          <w:rFonts w:ascii="Times New Roman" w:hAnsi="Times New Roman"/>
          <w:sz w:val="28"/>
          <w:szCs w:val="28"/>
          <w:highlight w:val="none"/>
        </w:rPr>
        <w:t xml:space="preserve">ания»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65D9D9F3">
      <w:pPr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00FA337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/>
          <w:sz w:val="28"/>
          <w:szCs w:val="28"/>
          <w:highlight w:val="none"/>
        </w:rPr>
        <w:t xml:space="preserve"> внесении изменений в Положение о формировании государственного задания на оказание государственных услуг (выполнение работ) в отношении государственных учреждений и финансовом обеспечении выполнения государственного задания, утвержденное постановлением Ка</w:t>
      </w:r>
      <w:r>
        <w:rPr>
          <w:rFonts w:ascii="Times New Roman" w:hAnsi="Times New Roman"/>
          <w:sz w:val="28"/>
          <w:szCs w:val="28"/>
          <w:highlight w:val="none"/>
        </w:rPr>
        <w:t xml:space="preserve">б</w:t>
      </w:r>
      <w:r>
        <w:rPr>
          <w:rFonts w:ascii="Times New Roman" w:hAnsi="Times New Roman"/>
          <w:sz w:val="28"/>
          <w:szCs w:val="28"/>
          <w:highlight w:val="none"/>
        </w:rPr>
        <w:t xml:space="preserve">инета Министров Республики Татарстан от 31.12.2015 № 1044 «О порядке формирования государственного задания на оказание государственных услуг (выполнение работ) в отношении государственных учреждений и финансового обеспечения выполнения государственного зад</w:t>
      </w:r>
      <w:r>
        <w:rPr>
          <w:rFonts w:ascii="Times New Roman" w:hAnsi="Times New Roman"/>
          <w:sz w:val="28"/>
          <w:szCs w:val="28"/>
          <w:highlight w:val="none"/>
        </w:rPr>
        <w:t xml:space="preserve">ания»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разработан </w:t>
      </w:r>
      <w:r>
        <w:rPr>
          <w:rFonts w:ascii="Times New Roman" w:hAnsi="Times New Roman"/>
          <w:sz w:val="28"/>
          <w:szCs w:val="28"/>
          <w:highlight w:val="none"/>
        </w:rPr>
        <w:t xml:space="preserve">с целью приведения в соответствие с постановлением Правительства РФ от 26.06.2015 № 640 </w:t>
      </w:r>
      <w:r>
        <w:rPr>
          <w:rFonts w:ascii="Times New Roman" w:hAnsi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</w:t>
      </w:r>
      <w:r>
        <w:rPr>
          <w:rFonts w:ascii="Times New Roman" w:hAnsi="Times New Roman"/>
          <w:sz w:val="28"/>
          <w:szCs w:val="28"/>
          <w:highlight w:val="none"/>
        </w:rPr>
        <w:t xml:space="preserve">ечения выполнения государственного задания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в части форм государственного задания.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5330366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Также настоящим проектом </w:t>
      </w:r>
      <w:r>
        <w:rPr>
          <w:rFonts w:ascii="Times New Roman" w:hAnsi="Times New Roman"/>
          <w:sz w:val="28"/>
          <w:szCs w:val="28"/>
          <w:highlight w:val="none"/>
        </w:rPr>
        <w:t xml:space="preserve">предусмотрено внесение изменений в части уточнения источника информации для формирования государственных заданий  образовательных учреждений.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2205F7E3">
      <w:pPr>
        <w:pBdr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152235C8">
      <w:pPr>
        <w:pBdr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Необходимость</w:t>
      </w:r>
      <w:r>
        <w:rPr>
          <w:rFonts w:ascii="Times New Roman" w:hAnsi="Times New Roman"/>
          <w:sz w:val="28"/>
          <w:szCs w:val="28"/>
          <w:highlight w:val="none"/>
        </w:rPr>
        <w:t xml:space="preserve"> в проведении оценки регулирующего воздействия</w:t>
      </w:r>
      <w:r>
        <w:rPr>
          <w:rFonts w:ascii="Times New Roman" w:hAnsi="Times New Roman"/>
          <w:sz w:val="28"/>
          <w:szCs w:val="28"/>
          <w:highlight w:val="none"/>
        </w:rPr>
        <w:t xml:space="preserve"> проекта постановления </w:t>
      </w: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 w14:paraId="6CEBE7B7">
      <w:pPr>
        <w:pBdr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По итогам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независимой антикоррупционной экспертизы</w:t>
      </w:r>
      <w:r>
        <w:rPr>
          <w:rFonts w:ascii="Times New Roman" w:hAnsi="Times New Roman"/>
          <w:sz w:val="28"/>
          <w:szCs w:val="28"/>
          <w:highlight w:val="none"/>
        </w:rPr>
        <w:t xml:space="preserve"> проекта </w:t>
      </w:r>
      <w:r>
        <w:rPr>
          <w:rFonts w:ascii="Times New Roman" w:hAnsi="Times New Roman"/>
          <w:sz w:val="28"/>
          <w:szCs w:val="28"/>
          <w:highlight w:val="none"/>
        </w:rPr>
        <w:t xml:space="preserve">постановления </w:t>
      </w: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заключений не поступало.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sectPr>
      <w:footnotePr/>
      <w:endnotePr/>
      <w:type w:val="nextPage"/>
      <w:pgSz w:h="16838" w:orient="portrait" w:w="11906"/>
      <w:pgMar w:top="1134" w:right="567" w:bottom="1134" w:left="1134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DA8E07F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CE205EC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568E2CD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0FF9F1A6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05539429"/>
      <w:docPartObj>
        <w:docPartGallery w:val="Page Numbers (Top of Page)"/>
        <w:docPartUnique w:val="true"/>
      </w:docPartObj>
      <w:rPr/>
    </w:sdtPr>
    <w:sdtContent>
      <w:p w14:paraId="72077917" w14:textId="40FADF61">
        <w:pPr>
          <w:pStyle w:val="936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 w14:paraId="23BD5940" w14:textId="77777777">
    <w:pPr>
      <w:pStyle w:val="93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2C4FF3"/>
    <w:lvl w:ilvl="0">
      <w:isLgl w:val="false"/>
      <w:lvlJc w:val="left"/>
      <w:lvlText w:val="%1)"/>
      <w:numFmt w:val="decimal"/>
      <w:pPr>
        <w:pBdr/>
        <w:spacing/>
        <w:ind w:hanging="1440" w:left="441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405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477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549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621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693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765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837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9097"/>
      </w:pPr>
      <w:rPr/>
      <w:start w:val="1"/>
      <w:suff w:val="tab"/>
    </w:lvl>
  </w:abstractNum>
  <w:abstractNum w:abstractNumId="1">
    <w:nsid w:val="315B355C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">
    <w:nsid w:val="31EC6670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35886655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4">
    <w:nsid w:val="3B754947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5">
    <w:nsid w:val="3F957AFD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6">
    <w:nsid w:val="47F537E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14847F4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nsid w:val="61845792"/>
    <w:lvl w:ilvl="0">
      <w:isLgl w:val="false"/>
      <w:lvlJc w:val="left"/>
      <w:lvlText w:val="%1)"/>
      <w:numFmt w:val="decimal"/>
      <w:pPr>
        <w:pBdr/>
        <w:spacing/>
        <w:ind w:hanging="360" w:left="14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9">
    <w:nsid w:val="7E571C14"/>
    <w:lvl w:ilvl="0">
      <w:isLgl w:val="false"/>
      <w:lvlJc w:val="left"/>
      <w:lvlText w:val="%1."/>
      <w:numFmt w:val="decimal"/>
      <w:pPr>
        <w:pBdr/>
        <w:spacing/>
        <w:ind w:hanging="360" w:left="3338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855"/>
      </w:pPr>
      <w:rPr>
        <w:rFonts w:hint="default"/>
      </w:rPr>
      <w:start w:val="13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778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48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36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54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254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03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312"/>
      </w:pPr>
      <w:rPr>
        <w:rFonts w:hint="default"/>
      </w:rPr>
      <w:start w:val="1"/>
      <w:suff w:val="tab"/>
    </w:lvl>
  </w:abstractNum>
  <w:abstractNum w:abstractNumId="10">
    <w:nsid w:val="7F217276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nsid w:val="7030A960"/>
    <w:lvl w:ilvl="0">
      <w:isLgl w:val="false"/>
      <w:lvlJc w:val="left"/>
      <w:lvlText w:val="–"/>
      <w:numFmt w:val="bullet"/>
      <w:pPr>
        <w:pBdr/>
        <w:spacing/>
        <w:ind w:hanging="360" w:left="124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6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68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40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2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84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56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28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00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nsid w:val="4B5A8C9C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51">
    <w:name w:val="Table Grid Light"/>
    <w:basedOn w:val="9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1"/>
    <w:basedOn w:val="9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2"/>
    <w:basedOn w:val="9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1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2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3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4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5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6"/>
    <w:basedOn w:val="9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1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2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3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4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5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6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1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2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3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4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5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6"/>
    <w:basedOn w:val="9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1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2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3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4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5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6"/>
    <w:basedOn w:val="9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6">
    <w:name w:val="Heading 1"/>
    <w:basedOn w:val="932"/>
    <w:next w:val="932"/>
    <w:link w:val="88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77">
    <w:name w:val="Heading 2"/>
    <w:basedOn w:val="932"/>
    <w:next w:val="932"/>
    <w:link w:val="88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8">
    <w:name w:val="Heading 3"/>
    <w:basedOn w:val="932"/>
    <w:next w:val="932"/>
    <w:link w:val="88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79">
    <w:name w:val="Heading 4"/>
    <w:basedOn w:val="932"/>
    <w:next w:val="932"/>
    <w:link w:val="88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0">
    <w:name w:val="Heading 5"/>
    <w:basedOn w:val="932"/>
    <w:next w:val="932"/>
    <w:link w:val="88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1">
    <w:name w:val="Heading 6"/>
    <w:basedOn w:val="932"/>
    <w:next w:val="932"/>
    <w:link w:val="89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2">
    <w:name w:val="Heading 7"/>
    <w:basedOn w:val="932"/>
    <w:next w:val="932"/>
    <w:link w:val="89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3">
    <w:name w:val="Heading 8"/>
    <w:basedOn w:val="932"/>
    <w:next w:val="932"/>
    <w:link w:val="89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4">
    <w:name w:val="Heading 9"/>
    <w:basedOn w:val="932"/>
    <w:next w:val="932"/>
    <w:link w:val="89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5">
    <w:name w:val="Heading 1 Char"/>
    <w:basedOn w:val="933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6">
    <w:name w:val="Heading 2 Char"/>
    <w:basedOn w:val="933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7">
    <w:name w:val="Heading 3 Char"/>
    <w:basedOn w:val="933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8">
    <w:name w:val="Heading 4 Char"/>
    <w:basedOn w:val="933"/>
    <w:link w:val="87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9">
    <w:name w:val="Heading 5 Char"/>
    <w:basedOn w:val="933"/>
    <w:link w:val="8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0">
    <w:name w:val="Heading 6 Char"/>
    <w:basedOn w:val="933"/>
    <w:link w:val="88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1">
    <w:name w:val="Heading 7 Char"/>
    <w:basedOn w:val="933"/>
    <w:link w:val="88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2">
    <w:name w:val="Heading 8 Char"/>
    <w:basedOn w:val="933"/>
    <w:link w:val="88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3">
    <w:name w:val="Heading 9 Char"/>
    <w:basedOn w:val="933"/>
    <w:link w:val="88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4">
    <w:name w:val="Title"/>
    <w:basedOn w:val="932"/>
    <w:next w:val="932"/>
    <w:link w:val="89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5">
    <w:name w:val="Title Char"/>
    <w:basedOn w:val="933"/>
    <w:link w:val="8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6">
    <w:name w:val="Subtitle"/>
    <w:basedOn w:val="932"/>
    <w:next w:val="932"/>
    <w:link w:val="89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7">
    <w:name w:val="Subtitle Char"/>
    <w:basedOn w:val="933"/>
    <w:link w:val="8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8">
    <w:name w:val="Quote"/>
    <w:basedOn w:val="932"/>
    <w:next w:val="932"/>
    <w:link w:val="89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9">
    <w:name w:val="Quote Char"/>
    <w:basedOn w:val="933"/>
    <w:link w:val="8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0">
    <w:name w:val="Intense Emphasis"/>
    <w:basedOn w:val="93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1">
    <w:name w:val="Intense Quote"/>
    <w:basedOn w:val="932"/>
    <w:next w:val="932"/>
    <w:link w:val="90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2">
    <w:name w:val="Intense Quote Char"/>
    <w:basedOn w:val="933"/>
    <w:link w:val="90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3">
    <w:name w:val="Intense Reference"/>
    <w:basedOn w:val="93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4">
    <w:name w:val="No Spacing"/>
    <w:basedOn w:val="932"/>
    <w:uiPriority w:val="1"/>
    <w:qFormat/>
    <w:pPr>
      <w:pBdr/>
      <w:spacing w:after="0" w:line="240" w:lineRule="auto"/>
      <w:ind/>
    </w:pPr>
  </w:style>
  <w:style w:type="character" w:styleId="905">
    <w:name w:val="Subtle Emphasis"/>
    <w:basedOn w:val="93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6">
    <w:name w:val="Strong"/>
    <w:basedOn w:val="933"/>
    <w:uiPriority w:val="22"/>
    <w:qFormat/>
    <w:pPr>
      <w:pBdr/>
      <w:spacing/>
      <w:ind/>
    </w:pPr>
    <w:rPr>
      <w:b/>
      <w:bCs/>
    </w:rPr>
  </w:style>
  <w:style w:type="character" w:styleId="907">
    <w:name w:val="Subtle Reference"/>
    <w:basedOn w:val="93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8">
    <w:name w:val="Book Title"/>
    <w:basedOn w:val="93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09">
    <w:name w:val="Header Char"/>
    <w:basedOn w:val="933"/>
    <w:link w:val="936"/>
    <w:uiPriority w:val="99"/>
    <w:pPr>
      <w:pBdr/>
      <w:spacing/>
      <w:ind/>
    </w:pPr>
  </w:style>
  <w:style w:type="character" w:styleId="910">
    <w:name w:val="Footer Char"/>
    <w:basedOn w:val="933"/>
    <w:link w:val="938"/>
    <w:uiPriority w:val="99"/>
    <w:pPr>
      <w:pBdr/>
      <w:spacing/>
      <w:ind/>
    </w:pPr>
  </w:style>
  <w:style w:type="paragraph" w:styleId="911">
    <w:name w:val="Caption"/>
    <w:basedOn w:val="932"/>
    <w:next w:val="93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12">
    <w:name w:val="footnote text"/>
    <w:basedOn w:val="932"/>
    <w:link w:val="91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3">
    <w:name w:val="Footnote Text Char"/>
    <w:basedOn w:val="933"/>
    <w:link w:val="912"/>
    <w:uiPriority w:val="99"/>
    <w:semiHidden/>
    <w:pPr>
      <w:pBdr/>
      <w:spacing/>
      <w:ind/>
    </w:pPr>
    <w:rPr>
      <w:sz w:val="20"/>
      <w:szCs w:val="20"/>
    </w:rPr>
  </w:style>
  <w:style w:type="character" w:styleId="914">
    <w:name w:val="footnote reference"/>
    <w:basedOn w:val="933"/>
    <w:uiPriority w:val="99"/>
    <w:semiHidden/>
    <w:unhideWhenUsed/>
    <w:pPr>
      <w:pBdr/>
      <w:spacing/>
      <w:ind/>
    </w:pPr>
    <w:rPr>
      <w:vertAlign w:val="superscript"/>
    </w:rPr>
  </w:style>
  <w:style w:type="paragraph" w:styleId="915">
    <w:name w:val="endnote text"/>
    <w:basedOn w:val="932"/>
    <w:link w:val="91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6">
    <w:name w:val="Endnote Text Char"/>
    <w:basedOn w:val="933"/>
    <w:link w:val="915"/>
    <w:uiPriority w:val="99"/>
    <w:semiHidden/>
    <w:pPr>
      <w:pBdr/>
      <w:spacing/>
      <w:ind/>
    </w:pPr>
    <w:rPr>
      <w:sz w:val="20"/>
      <w:szCs w:val="20"/>
    </w:rPr>
  </w:style>
  <w:style w:type="character" w:styleId="917">
    <w:name w:val="endnote reference"/>
    <w:basedOn w:val="933"/>
    <w:uiPriority w:val="99"/>
    <w:semiHidden/>
    <w:unhideWhenUsed/>
    <w:pPr>
      <w:pBdr/>
      <w:spacing/>
      <w:ind/>
    </w:pPr>
    <w:rPr>
      <w:vertAlign w:val="superscript"/>
    </w:rPr>
  </w:style>
  <w:style w:type="character" w:styleId="918">
    <w:name w:val="Hyperlink"/>
    <w:basedOn w:val="93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9">
    <w:name w:val="FollowedHyperlink"/>
    <w:basedOn w:val="93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0">
    <w:name w:val="toc 1"/>
    <w:basedOn w:val="932"/>
    <w:next w:val="932"/>
    <w:uiPriority w:val="39"/>
    <w:unhideWhenUsed/>
    <w:pPr>
      <w:pBdr/>
      <w:spacing w:after="100"/>
      <w:ind/>
    </w:pPr>
  </w:style>
  <w:style w:type="paragraph" w:styleId="921">
    <w:name w:val="toc 2"/>
    <w:basedOn w:val="932"/>
    <w:next w:val="932"/>
    <w:uiPriority w:val="39"/>
    <w:unhideWhenUsed/>
    <w:pPr>
      <w:pBdr/>
      <w:spacing w:after="100"/>
      <w:ind w:left="220"/>
    </w:pPr>
  </w:style>
  <w:style w:type="paragraph" w:styleId="922">
    <w:name w:val="toc 3"/>
    <w:basedOn w:val="932"/>
    <w:next w:val="932"/>
    <w:uiPriority w:val="39"/>
    <w:unhideWhenUsed/>
    <w:pPr>
      <w:pBdr/>
      <w:spacing w:after="100"/>
      <w:ind w:left="440"/>
    </w:pPr>
  </w:style>
  <w:style w:type="paragraph" w:styleId="923">
    <w:name w:val="toc 4"/>
    <w:basedOn w:val="932"/>
    <w:next w:val="932"/>
    <w:uiPriority w:val="39"/>
    <w:unhideWhenUsed/>
    <w:pPr>
      <w:pBdr/>
      <w:spacing w:after="100"/>
      <w:ind w:left="660"/>
    </w:pPr>
  </w:style>
  <w:style w:type="paragraph" w:styleId="924">
    <w:name w:val="toc 5"/>
    <w:basedOn w:val="932"/>
    <w:next w:val="932"/>
    <w:uiPriority w:val="39"/>
    <w:unhideWhenUsed/>
    <w:pPr>
      <w:pBdr/>
      <w:spacing w:after="100"/>
      <w:ind w:left="880"/>
    </w:pPr>
  </w:style>
  <w:style w:type="paragraph" w:styleId="925">
    <w:name w:val="toc 6"/>
    <w:basedOn w:val="932"/>
    <w:next w:val="932"/>
    <w:uiPriority w:val="39"/>
    <w:unhideWhenUsed/>
    <w:pPr>
      <w:pBdr/>
      <w:spacing w:after="100"/>
      <w:ind w:left="1100"/>
    </w:pPr>
  </w:style>
  <w:style w:type="paragraph" w:styleId="926">
    <w:name w:val="toc 7"/>
    <w:basedOn w:val="932"/>
    <w:next w:val="932"/>
    <w:uiPriority w:val="39"/>
    <w:unhideWhenUsed/>
    <w:pPr>
      <w:pBdr/>
      <w:spacing w:after="100"/>
      <w:ind w:left="1320"/>
    </w:pPr>
  </w:style>
  <w:style w:type="paragraph" w:styleId="927">
    <w:name w:val="toc 8"/>
    <w:basedOn w:val="932"/>
    <w:next w:val="932"/>
    <w:uiPriority w:val="39"/>
    <w:unhideWhenUsed/>
    <w:pPr>
      <w:pBdr/>
      <w:spacing w:after="100"/>
      <w:ind w:left="1540"/>
    </w:pPr>
  </w:style>
  <w:style w:type="paragraph" w:styleId="928">
    <w:name w:val="toc 9"/>
    <w:basedOn w:val="932"/>
    <w:next w:val="932"/>
    <w:uiPriority w:val="39"/>
    <w:unhideWhenUsed/>
    <w:pPr>
      <w:pBdr/>
      <w:spacing w:after="100"/>
      <w:ind w:left="1760"/>
    </w:pPr>
  </w:style>
  <w:style w:type="character" w:styleId="929">
    <w:name w:val="Placeholder Text"/>
    <w:basedOn w:val="933"/>
    <w:uiPriority w:val="99"/>
    <w:semiHidden/>
    <w:pPr>
      <w:pBdr/>
      <w:spacing/>
      <w:ind/>
    </w:pPr>
    <w:rPr>
      <w:color w:val="666666"/>
    </w:rPr>
  </w:style>
  <w:style w:type="paragraph" w:styleId="930">
    <w:name w:val="TOC Heading"/>
    <w:uiPriority w:val="39"/>
    <w:unhideWhenUsed/>
    <w:pPr>
      <w:pBdr/>
      <w:spacing/>
      <w:ind/>
    </w:pPr>
  </w:style>
  <w:style w:type="paragraph" w:styleId="931">
    <w:name w:val="table of figures"/>
    <w:basedOn w:val="932"/>
    <w:next w:val="932"/>
    <w:uiPriority w:val="99"/>
    <w:unhideWhenUsed/>
    <w:pPr>
      <w:pBdr/>
      <w:spacing w:after="0" w:afterAutospacing="0"/>
      <w:ind/>
    </w:pPr>
  </w:style>
  <w:style w:type="paragraph" w:styleId="932" w:default="1">
    <w:name w:val="Normal"/>
    <w:qFormat/>
    <w:pPr>
      <w:pBdr/>
      <w:spacing w:after="160" w:line="259" w:lineRule="auto"/>
      <w:ind/>
    </w:pPr>
  </w:style>
  <w:style w:type="character" w:styleId="933" w:default="1">
    <w:name w:val="Default Paragraph Font"/>
    <w:uiPriority w:val="1"/>
    <w:semiHidden/>
    <w:unhideWhenUsed/>
    <w:pPr>
      <w:pBdr/>
      <w:spacing/>
      <w:ind/>
    </w:pPr>
  </w:style>
  <w:style w:type="table" w:styleId="93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5" w:default="1">
    <w:name w:val="No List"/>
    <w:uiPriority w:val="99"/>
    <w:semiHidden/>
    <w:unhideWhenUsed/>
    <w:pPr>
      <w:pBdr/>
      <w:spacing/>
      <w:ind/>
    </w:pPr>
  </w:style>
  <w:style w:type="paragraph" w:styleId="936">
    <w:name w:val="Header"/>
    <w:basedOn w:val="932"/>
    <w:link w:val="93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37" w:customStyle="1">
    <w:name w:val="Верхний колонтитул Знак"/>
    <w:basedOn w:val="933"/>
    <w:link w:val="936"/>
    <w:uiPriority w:val="99"/>
    <w:pPr>
      <w:pBdr/>
      <w:spacing/>
      <w:ind/>
    </w:pPr>
  </w:style>
  <w:style w:type="paragraph" w:styleId="938">
    <w:name w:val="Footer"/>
    <w:basedOn w:val="932"/>
    <w:link w:val="93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39" w:customStyle="1">
    <w:name w:val="Нижний колонтитул Знак"/>
    <w:basedOn w:val="933"/>
    <w:link w:val="938"/>
    <w:uiPriority w:val="99"/>
    <w:pPr>
      <w:pBdr/>
      <w:spacing/>
      <w:ind/>
    </w:pPr>
  </w:style>
  <w:style w:type="paragraph" w:styleId="940">
    <w:name w:val="Balloon Text"/>
    <w:basedOn w:val="932"/>
    <w:link w:val="941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41" w:customStyle="1">
    <w:name w:val="Текст выноски Знак"/>
    <w:basedOn w:val="933"/>
    <w:link w:val="940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42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eastAsia="Times New Roman" w:cs="Calibri"/>
      <w:szCs w:val="20"/>
      <w:lang w:eastAsia="ru-RU"/>
    </w:rPr>
  </w:style>
  <w:style w:type="paragraph" w:styleId="943">
    <w:name w:val="List Paragraph"/>
    <w:basedOn w:val="932"/>
    <w:uiPriority w:val="34"/>
    <w:qFormat/>
    <w:pPr>
      <w:pBdr/>
      <w:spacing/>
      <w:ind w:left="720"/>
      <w:contextualSpacing w:val="true"/>
    </w:pPr>
  </w:style>
  <w:style w:type="paragraph" w:styleId="944" w:customStyle="1">
    <w:name w:val="ConsPlusTitle"/>
    <w:pPr>
      <w:widowControl w:val="false"/>
      <w:pBdr/>
      <w:spacing w:after="0" w:line="240" w:lineRule="auto"/>
      <w:ind/>
    </w:pPr>
    <w:rPr>
      <w:rFonts w:ascii="Calibri" w:hAnsi="Calibri" w:eastAsia="Times New Roman" w:cs="Calibri"/>
      <w:b/>
      <w:szCs w:val="20"/>
      <w:lang w:eastAsia="ru-RU"/>
    </w:rPr>
  </w:style>
  <w:style w:type="table" w:styleId="945">
    <w:name w:val="Table Grid"/>
    <w:basedOn w:val="93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6">
    <w:name w:val="Revision"/>
    <w:hidden/>
    <w:uiPriority w:val="99"/>
    <w:semiHidden/>
    <w:pPr>
      <w:pBdr/>
      <w:spacing w:after="0" w:line="240" w:lineRule="auto"/>
      <w:ind/>
    </w:pPr>
  </w:style>
  <w:style w:type="paragraph" w:styleId="947">
    <w:name w:val="Normal (Web)"/>
    <w:basedOn w:val="932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48">
    <w:name w:val="Emphasis"/>
    <w:basedOn w:val="933"/>
    <w:uiPriority w:val="20"/>
    <w:qFormat/>
    <w:pPr>
      <w:pBdr/>
      <w:spacing/>
      <w:ind/>
    </w:pPr>
    <w:rPr>
      <w:i/>
      <w:iCs/>
    </w:rPr>
  </w:style>
  <w:style w:type="paragraph" w:styleId="949" w:customStyle="1">
    <w:name w:val="ConsPlusNonformat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ogin.consultant.ru/link/?req=doc&amp;base=LAW&amp;n=495935&amp;date=04.05.2026" TargetMode="External"/><Relationship Id="rId12" Type="http://schemas.openxmlformats.org/officeDocument/2006/relationships/hyperlink" Target="https://login.consultant.ru/link/?req=doc&amp;base=LAW&amp;n=495935&amp;date=04.05.2026" TargetMode="External"/><Relationship Id="rId13" Type="http://schemas.openxmlformats.org/officeDocument/2006/relationships/hyperlink" Target="https://login.consultant.ru/link/?req=doc&amp;base=LAW&amp;n=495935&amp;date=04.05.2026" TargetMode="External"/><Relationship Id="rId14" Type="http://schemas.openxmlformats.org/officeDocument/2006/relationships/hyperlink" Target="https://login.consultant.ru/link/?req=doc&amp;base=LAW&amp;n=495935&amp;date=04.05.2026" TargetMode="External"/><Relationship Id="rId15" Type="http://schemas.openxmlformats.org/officeDocument/2006/relationships/hyperlink" Target="https://login.consultant.ru/link/?req=doc&amp;base=LAW&amp;n=495935&amp;date=04.05.2026" TargetMode="External"/><Relationship Id="rId16" Type="http://schemas.openxmlformats.org/officeDocument/2006/relationships/hyperlink" Target="https://login.consultant.ru/link/?req=doc&amp;base=RLAW363&amp;n=192958&amp;dst=100680&amp;field=134&amp;date=08.05.2026" TargetMode="External"/><Relationship Id="rId17" Type="http://schemas.openxmlformats.org/officeDocument/2006/relationships/hyperlink" Target="https://login.consultant.ru/link/?req=doc&amp;base=RLAW363&amp;n=192958&amp;dst=100680&amp;field=134&amp;date=08.05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907EE5B7-CEC7-4767-8BFE-31845CD83241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Muradimova</dc:creator>
  <cp:keywords/>
  <dc:description/>
  <cp:revision>19</cp:revision>
  <dcterms:created xsi:type="dcterms:W3CDTF">2023-12-08T09:52:00Z</dcterms:created>
  <dcterms:modified xsi:type="dcterms:W3CDTF">2026-07-24T09:54:55Z</dcterms:modified>
</cp:coreProperties>
</file>