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header2.xml" ContentType="application/vnd.openxmlformats-officedocument.wordprocessingml.head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0" w:line="240" w:lineRule="auto"/>
        <w:ind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Проект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КАБИНЕТ МИНИСТРОВ РЕСПУБЛИКИ ТАТАРСТАН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Bdr/>
        <w:spacing w:after="0" w:line="240" w:lineRule="auto"/>
        <w:ind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ПОСТАНОВЛЕНИЕ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Bdr/>
        <w:spacing w:after="0" w:line="240" w:lineRule="auto"/>
        <w:ind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г. Казань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Bdr/>
        <w:spacing w:after="0" w:line="240" w:lineRule="auto"/>
        <w:ind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«___» ___________ 2026 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  <w:t xml:space="preserve">№____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Bdr/>
        <w:spacing w:after="0" w:line="240" w:lineRule="auto"/>
        <w:ind w:right="510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постановление Кабинета Министров Республики Татарстан от 26.01.2009 №</w:t>
      </w:r>
      <w:r>
        <w:rPr>
          <w:rFonts w:ascii="Times New Roman" w:hAnsi="Times New Roman" w:cs="Times New Roman"/>
          <w:bCs/>
          <w:sz w:val="28"/>
          <w:szCs w:val="28"/>
        </w:rPr>
        <w:t xml:space="preserve"> </w:t>
      </w:r>
      <w:r>
        <w:rPr>
          <w:rFonts w:ascii="Times New Roman" w:hAnsi="Times New Roman" w:cs="Times New Roman"/>
          <w:bCs/>
          <w:sz w:val="28"/>
          <w:szCs w:val="28"/>
        </w:rPr>
        <w:t xml:space="preserve">42 «Об установлении уровня социальных гарантий обеспеченности общественной инфраструктурой, социальными услугами до 20</w:t>
      </w:r>
      <w:r>
        <w:rPr>
          <w:rFonts w:ascii="Times New Roman" w:hAnsi="Times New Roman" w:cs="Times New Roman"/>
          <w:bCs/>
          <w:sz w:val="28"/>
          <w:szCs w:val="28"/>
        </w:rPr>
        <w:t xml:space="preserve">29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года»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Bdr/>
        <w:spacing w:after="0" w:line="240" w:lineRule="auto"/>
        <w:ind w:right="5101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88" w:lineRule="auto"/>
        <w:ind w:right="0" w:firstLine="709"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Кабинет Министров Республики Татарстан </w:t>
      </w:r>
      <w:r>
        <w:rPr>
          <w:rFonts w:ascii="Times New Roman" w:hAnsi="Times New Roman" w:cs="Times New Roman"/>
          <w:sz w:val="28"/>
          <w:szCs w:val="28"/>
        </w:rPr>
        <w:t xml:space="preserve">ПОСТАНОВЛЯЕТ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6AEF6DB6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288" w:lineRule="auto"/>
        <w:ind w:right="0" w:firstLine="709" w:left="0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 w14:paraId="1A8C4D53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288" w:lineRule="auto"/>
        <w:ind w:right="0" w:firstLine="709" w:left="0"/>
        <w:jc w:val="both"/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Приложение к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ю</w:t>
      </w:r>
      <w:r>
        <w:rPr>
          <w:rFonts w:ascii="Times New Roman" w:hAnsi="Times New Roman" w:cs="Times New Roman"/>
          <w:sz w:val="28"/>
          <w:szCs w:val="28"/>
        </w:rPr>
        <w:t xml:space="preserve"> Кабинета Министров Республики Татарстан от 26.01.2009 </w:t>
      </w:r>
      <w:r>
        <w:rPr>
          <w:rFonts w:ascii="Times New Roman" w:hAnsi="Times New Roman" w:cs="Times New Roman"/>
          <w:sz w:val="28"/>
          <w:szCs w:val="28"/>
        </w:rPr>
        <w:t xml:space="preserve">№</w:t>
      </w:r>
      <w:r>
        <w:rPr>
          <w:rFonts w:ascii="Times New Roman" w:hAnsi="Times New Roman" w:cs="Times New Roman"/>
          <w:sz w:val="28"/>
          <w:szCs w:val="28"/>
        </w:rPr>
        <w:t xml:space="preserve"> 42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Об установлении уровня социальных гарантий обеспеченности общественной инфраструктурой, социальными услугами до 20</w:t>
      </w:r>
      <w:r>
        <w:rPr>
          <w:rFonts w:ascii="Times New Roman" w:hAnsi="Times New Roman" w:cs="Times New Roman"/>
          <w:sz w:val="28"/>
          <w:szCs w:val="28"/>
        </w:rPr>
        <w:t xml:space="preserve">29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(с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изменениями, внесенными постановлениями Кабинета Министров Республики Татарстан от 20.10.2010 </w:t>
      </w:r>
      <w:r>
        <w:rPr>
          <w:rFonts w:ascii="Times New Roman" w:hAnsi="Times New Roman" w:cs="Times New Roman"/>
          <w:sz w:val="28"/>
          <w:szCs w:val="28"/>
        </w:rPr>
        <w:t xml:space="preserve">№</w:t>
      </w:r>
      <w:r>
        <w:rPr>
          <w:rFonts w:ascii="Times New Roman" w:hAnsi="Times New Roman" w:cs="Times New Roman"/>
          <w:sz w:val="28"/>
          <w:szCs w:val="28"/>
        </w:rPr>
        <w:t xml:space="preserve"> 828, от 07.02.2012 </w:t>
      </w:r>
      <w:r>
        <w:rPr>
          <w:rFonts w:ascii="Times New Roman" w:hAnsi="Times New Roman" w:cs="Times New Roman"/>
          <w:sz w:val="28"/>
          <w:szCs w:val="28"/>
        </w:rPr>
        <w:t xml:space="preserve">№</w:t>
      </w:r>
      <w:r>
        <w:rPr>
          <w:rFonts w:ascii="Times New Roman" w:hAnsi="Times New Roman" w:cs="Times New Roman"/>
          <w:sz w:val="28"/>
          <w:szCs w:val="28"/>
        </w:rPr>
        <w:t xml:space="preserve"> 89, от 10.11.2012 </w:t>
      </w:r>
      <w:r>
        <w:rPr>
          <w:rFonts w:ascii="Times New Roman" w:hAnsi="Times New Roman" w:cs="Times New Roman"/>
          <w:sz w:val="28"/>
          <w:szCs w:val="28"/>
        </w:rPr>
        <w:t xml:space="preserve">№</w:t>
      </w:r>
      <w:r>
        <w:rPr>
          <w:rFonts w:ascii="Times New Roman" w:hAnsi="Times New Roman" w:cs="Times New Roman"/>
          <w:sz w:val="28"/>
          <w:szCs w:val="28"/>
        </w:rPr>
        <w:t xml:space="preserve"> 977, от 19.03.2013 </w:t>
      </w:r>
      <w:r>
        <w:rPr>
          <w:rFonts w:ascii="Times New Roman" w:hAnsi="Times New Roman" w:cs="Times New Roman"/>
          <w:sz w:val="28"/>
          <w:szCs w:val="28"/>
        </w:rPr>
        <w:t xml:space="preserve">№</w:t>
      </w:r>
      <w:r>
        <w:rPr>
          <w:rFonts w:ascii="Times New Roman" w:hAnsi="Times New Roman" w:cs="Times New Roman"/>
          <w:sz w:val="28"/>
          <w:szCs w:val="28"/>
        </w:rPr>
        <w:t xml:space="preserve"> 191, от 30.05.2013 </w:t>
      </w:r>
      <w:r>
        <w:rPr>
          <w:rFonts w:ascii="Times New Roman" w:hAnsi="Times New Roman" w:cs="Times New Roman"/>
          <w:sz w:val="28"/>
          <w:szCs w:val="28"/>
        </w:rPr>
        <w:t xml:space="preserve">№</w:t>
      </w:r>
      <w:r>
        <w:rPr>
          <w:rFonts w:ascii="Times New Roman" w:hAnsi="Times New Roman" w:cs="Times New Roman"/>
          <w:sz w:val="28"/>
          <w:szCs w:val="28"/>
        </w:rPr>
        <w:t xml:space="preserve"> 361, от 08.07.2014 </w:t>
      </w:r>
      <w:r>
        <w:rPr>
          <w:rFonts w:ascii="Times New Roman" w:hAnsi="Times New Roman" w:cs="Times New Roman"/>
          <w:sz w:val="28"/>
          <w:szCs w:val="28"/>
        </w:rPr>
        <w:t xml:space="preserve">№</w:t>
      </w:r>
      <w:r>
        <w:rPr>
          <w:rFonts w:ascii="Times New Roman" w:hAnsi="Times New Roman" w:cs="Times New Roman"/>
          <w:sz w:val="28"/>
          <w:szCs w:val="28"/>
        </w:rPr>
        <w:t xml:space="preserve"> 465, от 18.11.2016 </w:t>
      </w:r>
      <w:r>
        <w:rPr>
          <w:rFonts w:ascii="Times New Roman" w:hAnsi="Times New Roman" w:cs="Times New Roman"/>
          <w:sz w:val="28"/>
          <w:szCs w:val="28"/>
        </w:rPr>
        <w:t xml:space="preserve">№</w:t>
      </w:r>
      <w:r>
        <w:rPr>
          <w:rFonts w:ascii="Times New Roman" w:hAnsi="Times New Roman" w:cs="Times New Roman"/>
          <w:sz w:val="28"/>
          <w:szCs w:val="28"/>
        </w:rPr>
        <w:t xml:space="preserve"> 846,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01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02</w:t>
      </w:r>
      <w:r>
        <w:rPr>
          <w:rFonts w:ascii="Times New Roman" w:hAnsi="Times New Roman" w:cs="Times New Roman"/>
          <w:sz w:val="28"/>
          <w:szCs w:val="28"/>
        </w:rPr>
        <w:t xml:space="preserve">.201</w:t>
      </w:r>
      <w:r>
        <w:rPr>
          <w:rFonts w:ascii="Times New Roman" w:hAnsi="Times New Roman" w:cs="Times New Roman"/>
          <w:sz w:val="28"/>
          <w:szCs w:val="28"/>
        </w:rPr>
        <w:t xml:space="preserve">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61</w:t>
      </w:r>
      <w:r>
        <w:rPr>
          <w:rFonts w:ascii="Times New Roman" w:hAnsi="Times New Roman" w:cs="Times New Roman"/>
          <w:sz w:val="28"/>
          <w:szCs w:val="28"/>
        </w:rPr>
        <w:t xml:space="preserve">, от </w:t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8.</w:t>
      </w:r>
      <w:r>
        <w:rPr>
          <w:rFonts w:ascii="Times New Roman" w:hAnsi="Times New Roman" w:cs="Times New Roman"/>
          <w:sz w:val="28"/>
          <w:szCs w:val="28"/>
        </w:rPr>
        <w:t xml:space="preserve">08</w:t>
      </w:r>
      <w:r>
        <w:rPr>
          <w:rFonts w:ascii="Times New Roman" w:hAnsi="Times New Roman" w:cs="Times New Roman"/>
          <w:sz w:val="28"/>
          <w:szCs w:val="28"/>
        </w:rPr>
        <w:t xml:space="preserve">.201</w:t>
      </w:r>
      <w:r>
        <w:rPr>
          <w:rFonts w:ascii="Times New Roman" w:hAnsi="Times New Roman" w:cs="Times New Roman"/>
          <w:sz w:val="28"/>
          <w:szCs w:val="28"/>
        </w:rPr>
        <w:t xml:space="preserve">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721</w:t>
      </w:r>
      <w:r>
        <w:rPr>
          <w:rFonts w:ascii="Times New Roman" w:hAnsi="Times New Roman" w:cs="Times New Roman"/>
          <w:sz w:val="28"/>
          <w:szCs w:val="28"/>
        </w:rPr>
        <w:t xml:space="preserve">, от </w:t>
      </w:r>
      <w:r>
        <w:rPr>
          <w:rFonts w:ascii="Times New Roman" w:hAnsi="Times New Roman" w:cs="Times New Roman"/>
          <w:sz w:val="28"/>
          <w:szCs w:val="28"/>
        </w:rPr>
        <w:t xml:space="preserve">07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08</w:t>
      </w:r>
      <w:r>
        <w:rPr>
          <w:rFonts w:ascii="Times New Roman" w:hAnsi="Times New Roman" w:cs="Times New Roman"/>
          <w:sz w:val="28"/>
          <w:szCs w:val="28"/>
        </w:rPr>
        <w:t xml:space="preserve">.20</w:t>
      </w:r>
      <w:r>
        <w:rPr>
          <w:rFonts w:ascii="Times New Roman" w:hAnsi="Times New Roman" w:cs="Times New Roman"/>
          <w:sz w:val="28"/>
          <w:szCs w:val="28"/>
        </w:rPr>
        <w:t xml:space="preserve">23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950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от 30.12.2023 </w:t>
      </w:r>
      <w:hyperlink r:id="rId10" w:tooltip="https://login.consultant.ru/link/?req=doc&amp;base=RLAW363&amp;n=180635&amp;dst=100005&amp;field=134&amp;date=18.05.2026" w:history="1">
        <w:r>
          <w:rPr>
            <w:rFonts w:ascii="Times New Roman" w:hAnsi="Times New Roman" w:cs="Times New Roman"/>
            <w:sz w:val="28"/>
            <w:szCs w:val="28"/>
            <w:lang w:val="ru-RU"/>
          </w:rPr>
          <w:t xml:space="preserve">№</w:t>
        </w:r>
        <w:r>
          <w:rPr>
            <w:rFonts w:ascii="Times New Roman" w:hAnsi="Times New Roman" w:cs="Times New Roman"/>
            <w:sz w:val="28"/>
            <w:szCs w:val="28"/>
          </w:rPr>
          <w:t xml:space="preserve"> 1768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от 27.01.2024 </w:t>
      </w:r>
      <w:hyperlink r:id="rId11" w:tooltip="https://login.consultant.ru/link/?req=doc&amp;base=RLAW363&amp;n=181249&amp;dst=100005&amp;field=134&amp;date=18.05.2026" w:history="1">
        <w:r>
          <w:rPr>
            <w:rFonts w:ascii="Times New Roman" w:hAnsi="Times New Roman" w:cs="Times New Roman"/>
            <w:sz w:val="28"/>
            <w:szCs w:val="28"/>
            <w:lang w:val="ru-RU"/>
          </w:rPr>
          <w:t xml:space="preserve">№</w:t>
        </w:r>
        <w:r>
          <w:rPr>
            <w:rFonts w:ascii="Times New Roman" w:hAnsi="Times New Roman" w:cs="Times New Roman"/>
            <w:sz w:val="28"/>
            <w:szCs w:val="28"/>
          </w:rPr>
          <w:t xml:space="preserve"> 37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25.05.2024 </w:t>
      </w:r>
      <w:hyperlink r:id="rId12" w:tooltip="https://login.consultant.ru/link/?req=doc&amp;base=RLAW363&amp;n=183609&amp;dst=100005&amp;field=134&amp;date=18.05.2026" w:history="1">
        <w:r>
          <w:rPr>
            <w:rFonts w:ascii="Times New Roman" w:hAnsi="Times New Roman" w:cs="Times New Roman"/>
            <w:sz w:val="28"/>
            <w:szCs w:val="28"/>
            <w:lang w:val="ru-RU"/>
          </w:rPr>
          <w:t xml:space="preserve">№</w:t>
        </w:r>
        <w:r>
          <w:rPr>
            <w:rFonts w:ascii="Times New Roman" w:hAnsi="Times New Roman" w:cs="Times New Roman"/>
            <w:sz w:val="28"/>
            <w:szCs w:val="28"/>
          </w:rPr>
          <w:t xml:space="preserve"> 364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от 23.03.2026 </w:t>
      </w:r>
      <w:hyperlink r:id="rId13" w:tooltip="https://login.consultant.ru/link/?req=doc&amp;base=RLAW363&amp;n=196485&amp;dst=100005&amp;field=134&amp;date=18.05.2026" w:history="1">
        <w:r>
          <w:rPr>
            <w:rFonts w:ascii="Times New Roman" w:hAnsi="Times New Roman" w:cs="Times New Roman"/>
            <w:sz w:val="28"/>
            <w:szCs w:val="28"/>
            <w:lang w:val="ru-RU"/>
          </w:rPr>
          <w:t xml:space="preserve">№</w:t>
        </w:r>
        <w:r>
          <w:rPr>
            <w:rFonts w:ascii="Times New Roman" w:hAnsi="Times New Roman" w:cs="Times New Roman"/>
            <w:sz w:val="28"/>
            <w:szCs w:val="28"/>
          </w:rPr>
          <w:t xml:space="preserve"> 263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</w:p>
    <w:p>
      <w:pPr>
        <w:pBdr/>
        <w:spacing w:after="0" w:line="288" w:lineRule="auto"/>
        <w:ind w:right="0" w:firstLine="709" w:left="0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пункт 1.1 изложить в следующей редакции: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6B9E18C9">
      <w:pPr>
        <w:pBdr/>
        <w:spacing w:after="0" w:line="288" w:lineRule="auto"/>
        <w:ind w:right="0" w:firstLine="709"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916"/>
        <w:tblW w:w="10063" w:type="dxa"/>
        <w:tblBorders/>
        <w:tblLayout w:type="fixed"/>
        <w:tblLook w:val="04A0" w:firstRow="1" w:lastRow="0" w:firstColumn="1" w:lastColumn="0" w:noHBand="0" w:noVBand="1"/>
      </w:tblPr>
      <w:tblGrid>
        <w:gridCol w:w="2126"/>
        <w:gridCol w:w="3402"/>
        <w:gridCol w:w="4535"/>
      </w:tblGrid>
      <w:tr>
        <w:trPr/>
        <w:tc>
          <w:tcPr>
            <w:tcBorders/>
            <w:tcW w:w="2126" w:type="dxa"/>
            <w:vMerge w:val="restart"/>
          </w:tcPr>
          <w:p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«1.1. Дошкольные образовательные 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3402" w:type="dxa"/>
          </w:tcPr>
          <w:p w14:paraId="124E2AFB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кв. метров на 1 воспитанника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  <w:tc>
          <w:tcPr>
            <w:tcBorders/>
            <w:tcW w:w="4535" w:type="dxa"/>
          </w:tcPr>
          <w:p w14:paraId="7BDD1A48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городского округа, городских поселений в составе муниципального района - 11,28;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  <w:p w14:paraId="49B6404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сельских поселений в составе муниципального района - 14,36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</w:tr>
      <w:tr>
        <w:trPr/>
        <w:tc>
          <w:tcPr>
            <w:tcBorders/>
            <w:tcW w:w="2126" w:type="dxa"/>
            <w:vMerge w:val="continue"/>
          </w:tcPr>
          <w:p w14:paraId="6C7D4FBC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3402" w:type="dxa"/>
            <w:vMerge w:val="restart"/>
          </w:tcPr>
          <w:p w14:paraId="0977C44D">
            <w:pPr>
              <w:pBdr/>
              <w:spacing/>
              <w:ind/>
              <w:jc w:val="lef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количество воспитанников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/>
            <w:tcW w:w="4535" w:type="dxa"/>
            <w:vMerge w:val="restart"/>
          </w:tcPr>
          <w:p w14:paraId="1AD185EE">
            <w:pPr>
              <w:pBdr/>
              <w:spacing/>
              <w:ind/>
              <w:jc w:val="both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уровне проектной мощности учреждения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(в местах)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»;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</w:tr>
    </w:tbl>
    <w:p w14:paraId="53A3A58A">
      <w:pPr>
        <w:pBdr/>
        <w:spacing w:after="0" w:line="288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88" w:lineRule="auto"/>
        <w:ind w:firstLine="540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пункт 1.2 признать утратившим силу;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3BE13D3D">
      <w:pPr>
        <w:pBdr/>
        <w:spacing w:after="0" w:line="288" w:lineRule="auto"/>
        <w:ind w:firstLine="540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пункты 1.3-1.10 </w:t>
      </w:r>
      <w:r>
        <w:rPr>
          <w:rFonts w:ascii="Times New Roman" w:hAnsi="Times New Roman" w:cs="Times New Roman"/>
          <w:sz w:val="28"/>
          <w:szCs w:val="28"/>
        </w:rPr>
        <w:t xml:space="preserve">изложить в следующей редакции: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2502C63A">
      <w:pPr>
        <w:pBdr/>
        <w:spacing w:after="0" w:line="288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916"/>
        <w:tblW w:w="10063" w:type="dxa"/>
        <w:tblBorders/>
        <w:tblLayout w:type="fixed"/>
        <w:tblLook w:val="04A0" w:firstRow="1" w:lastRow="0" w:firstColumn="1" w:lastColumn="0" w:noHBand="0" w:noVBand="1"/>
      </w:tblPr>
      <w:tblGrid>
        <w:gridCol w:w="2834"/>
        <w:gridCol w:w="2976"/>
        <w:gridCol w:w="4252"/>
      </w:tblGrid>
      <w:tr>
        <w:trPr/>
        <w:tc>
          <w:tcPr>
            <w:tcBorders/>
            <w:tcW w:w="2834" w:type="dxa"/>
            <w:vMerge w:val="restart"/>
          </w:tcPr>
          <w:p w14:paraId="7B8F440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«1.3. 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Образовательные организации начального общего образования (начальные школы)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2976" w:type="dxa"/>
          </w:tcPr>
          <w:p w14:paraId="223DF32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кв. метров на 1 учащегося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/>
            <w:tcW w:w="4252" w:type="dxa"/>
          </w:tcPr>
          <w:p w14:paraId="3A82AA4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для городского округа, городских поселений в составе муниципального района - 27,48;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  <w:p w14:paraId="5C529AF8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для сельских поселений в составе муниципального района - 13,75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</w:tr>
      <w:tr>
        <w:trPr/>
        <w:tc>
          <w:tcPr>
            <w:tcBorders/>
            <w:tcW w:w="2834" w:type="dxa"/>
            <w:vMerge w:val="continue"/>
          </w:tcPr>
          <w:p w14:paraId="080FEB25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2976" w:type="dxa"/>
            <w:vMerge w:val="restart"/>
          </w:tcPr>
          <w:p w14:paraId="04AC77C9">
            <w:pPr>
              <w:pBdr/>
              <w:spacing/>
              <w:ind/>
              <w:jc w:val="lef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количество учащихся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/>
            <w:tcW w:w="4252" w:type="dxa"/>
            <w:vMerge w:val="restart"/>
          </w:tcPr>
          <w:p w14:paraId="66012B4E">
            <w:pPr>
              <w:pBdr/>
              <w:spacing/>
              <w:ind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на уровне проектной мощности учреждения (в местах)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2834" w:type="dxa"/>
            <w:vMerge w:val="restart"/>
          </w:tcPr>
          <w:p w14:paraId="6BD06D8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1.4. Образовательные организации основного общего образования (основные школы)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2976" w:type="dxa"/>
            <w:vMerge w:val="restart"/>
          </w:tcPr>
          <w:p w14:paraId="0CE7644F"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кв. метров на 1 учащегося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4252" w:type="dxa"/>
            <w:vMerge w:val="restart"/>
          </w:tcPr>
          <w:p w14:paraId="01088E6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при сменности 1,5: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  <w:p w14:paraId="294A8D2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для городского округа, городских поселений в составе муниципального района - 11,69;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  <w:p w14:paraId="589C91E1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для сельских поселений в составе муниципального района - 12,95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</w:tr>
      <w:tr>
        <w:trPr/>
        <w:tc>
          <w:tcPr>
            <w:tcBorders/>
            <w:tcW w:w="2834" w:type="dxa"/>
            <w:vMerge w:val="continue"/>
          </w:tcPr>
          <w:p w14:paraId="09E597FE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2976" w:type="dxa"/>
            <w:vMerge w:val="restart"/>
          </w:tcPr>
          <w:p w14:paraId="0977C44D">
            <w:pPr>
              <w:pBdr/>
              <w:spacing/>
              <w:ind/>
              <w:jc w:val="lef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количество учащихся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/>
            <w:tcW w:w="4252" w:type="dxa"/>
            <w:vMerge w:val="restart"/>
          </w:tcPr>
          <w:p w14:paraId="359FDA5B">
            <w:pPr>
              <w:pBdr/>
              <w:spacing/>
              <w:ind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на уровне проектной мощности учреждения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(в местах)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2834" w:type="dxa"/>
            <w:vMerge w:val="restart"/>
          </w:tcPr>
          <w:p w14:paraId="1FB7B63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1.5. Образовательные организации среднего общего образования (средние школы)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2976" w:type="dxa"/>
            <w:vMerge w:val="restart"/>
          </w:tcPr>
          <w:p w14:paraId="57CAEC88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кв. метров на 1 учащегося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/>
            <w:tcW w:w="4252" w:type="dxa"/>
            <w:vMerge w:val="restart"/>
          </w:tcPr>
          <w:p w14:paraId="4AF34C8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при сменности 1,5: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  <w:p w14:paraId="5062068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для городского округа, городских поселений в составе муниципального района - 15,07;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  <w:p w14:paraId="616934F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для сельских поселений в составе муниципального района - 14,83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</w:tr>
      <w:tr>
        <w:trPr/>
        <w:tc>
          <w:tcPr>
            <w:tcBorders/>
            <w:tcW w:w="2834" w:type="dxa"/>
            <w:vMerge w:val="continue"/>
          </w:tcPr>
          <w:p w14:paraId="2896B052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2976" w:type="dxa"/>
            <w:vMerge w:val="restart"/>
          </w:tcPr>
          <w:p w14:paraId="0977C44D">
            <w:pPr>
              <w:pBdr/>
              <w:spacing/>
              <w:ind/>
              <w:jc w:val="lef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количество учащихся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/>
            <w:tcW w:w="4252" w:type="dxa"/>
            <w:vMerge w:val="restart"/>
          </w:tcPr>
          <w:p w14:paraId="3BEAAFF4">
            <w:pPr>
              <w:pBdr/>
              <w:spacing/>
              <w:ind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на уровне проектной мощности учреждения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(в местах)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1836"/>
        </w:trPr>
        <w:tc>
          <w:tcPr>
            <w:tcBorders/>
            <w:tcW w:w="2834" w:type="dxa"/>
            <w:vMerge w:val="restart"/>
          </w:tcPr>
          <w:p w14:paraId="53DA91CA">
            <w:pPr>
              <w:pBdr/>
              <w:spacing/>
              <w: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1.6. Вечерние (сменные) школы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 w14:paraId="06B1AE98">
            <w:pPr>
              <w:pBdr/>
              <w:spacing/>
              <w:ind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Borders/>
            <w:tcW w:w="2976" w:type="dxa"/>
            <w:vMerge w:val="restart"/>
          </w:tcPr>
          <w:p w14:paraId="57CAEC88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кв. метров на 1 учащегося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  <w:p w14:paraId="780DF98B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4252" w:type="dxa"/>
            <w:vMerge w:val="restart"/>
          </w:tcPr>
          <w:p w14:paraId="72231D8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при сменности 2,5: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  <w:p w14:paraId="5D51BD9C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для городского округа, городских поселений в составе муниципального района - 7,01;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  <w:p w14:paraId="2F7A470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для сельских поселений в составе муниципального района - 7,77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</w:tr>
      <w:tr>
        <w:trPr>
          <w:trHeight w:val="528"/>
        </w:trPr>
        <w:tc>
          <w:tcPr>
            <w:tcBorders/>
            <w:tcW w:w="2834" w:type="dxa"/>
            <w:vMerge w:val="continue"/>
          </w:tcPr>
          <w:p w14:paraId="6B17EA5D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2976" w:type="dxa"/>
            <w:vMerge w:val="restart"/>
          </w:tcPr>
          <w:p w14:paraId="0977C44D">
            <w:pPr>
              <w:pBdr/>
              <w:spacing/>
              <w:ind/>
              <w:jc w:val="lef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количество учащихся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/>
            <w:tcW w:w="4252" w:type="dxa"/>
            <w:vMerge w:val="restart"/>
          </w:tcPr>
          <w:p w14:paraId="67D89363">
            <w:pPr>
              <w:pBdr/>
              <w:spacing/>
              <w:ind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на уровне проектной мощности учреждения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(в местах)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2834" w:type="dxa"/>
            <w:vMerge w:val="restart"/>
          </w:tcPr>
          <w:p w14:paraId="449D0B4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1.7. Школы-интернаты начального общего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/>
            <w:tcW w:w="2976" w:type="dxa"/>
            <w:vMerge w:val="restart"/>
          </w:tcPr>
          <w:p w14:paraId="57CAEC88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кв. метров на 1 учащегося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/>
            <w:tcW w:w="4252" w:type="dxa"/>
            <w:vMerge w:val="restart"/>
          </w:tcPr>
          <w:p w14:paraId="602C0624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для городского округа, городских поселений в составе муниципального района - 45,48;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  <w:p w14:paraId="0B767688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для сельских поселений в составе муниципального района - 31,75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</w:tr>
      <w:tr>
        <w:trPr/>
        <w:tc>
          <w:tcPr>
            <w:tcBorders/>
            <w:tcW w:w="2834" w:type="dxa"/>
            <w:vMerge w:val="continue"/>
          </w:tcPr>
          <w:p w14:paraId="1F262FD1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2976" w:type="dxa"/>
            <w:vMerge w:val="restart"/>
          </w:tcPr>
          <w:p w14:paraId="0977C44D">
            <w:pPr>
              <w:pBdr/>
              <w:spacing/>
              <w:ind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количество учащихся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/>
            <w:tcW w:w="4252" w:type="dxa"/>
            <w:vMerge w:val="restart"/>
          </w:tcPr>
          <w:p w14:paraId="50E5F84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на уровне проектной мощности учреждения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(в местах)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</w:tr>
      <w:tr>
        <w:trPr/>
        <w:tc>
          <w:tcPr>
            <w:tcBorders/>
            <w:tcW w:w="2834" w:type="dxa"/>
            <w:vMerge w:val="restart"/>
          </w:tcPr>
          <w:p w14:paraId="291CE9B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1.8. Школы-интернаты основного общего образования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/>
            <w:tcW w:w="2976" w:type="dxa"/>
            <w:vMerge w:val="restart"/>
          </w:tcPr>
          <w:p w14:paraId="57CAEC88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кв. метров на 1 учащегося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/>
            <w:tcW w:w="4252" w:type="dxa"/>
            <w:vMerge w:val="restart"/>
          </w:tcPr>
          <w:p w14:paraId="28A89E87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при сменности 1,5: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  <w:p w14:paraId="2D285B1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для городского округа, городских поселений в составе муниципального района - 29,69;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  <w:p w14:paraId="1550E921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для сельских поселений в составе муниципального района - 30,95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</w:tr>
      <w:tr>
        <w:trPr/>
        <w:tc>
          <w:tcPr>
            <w:tcBorders/>
            <w:tcW w:w="2834" w:type="dxa"/>
            <w:vMerge w:val="continue"/>
          </w:tcPr>
          <w:p w14:paraId="5EE73A3D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2976" w:type="dxa"/>
            <w:vMerge w:val="restart"/>
          </w:tcPr>
          <w:p w14:paraId="0977C44D">
            <w:pPr>
              <w:pBdr/>
              <w:spacing/>
              <w:ind/>
              <w:jc w:val="lef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количество учащихся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/>
            <w:tcW w:w="4252" w:type="dxa"/>
            <w:vMerge w:val="restart"/>
          </w:tcPr>
          <w:p w14:paraId="3BEAAFF4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на уровне проектной мощности учреждения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(в местах)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</w:tr>
      <w:tr>
        <w:trPr/>
        <w:tc>
          <w:tcPr>
            <w:tcBorders/>
            <w:tcW w:w="2834" w:type="dxa"/>
            <w:vMerge w:val="restart"/>
          </w:tcPr>
          <w:p w14:paraId="397FE88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1.9. Школы-интернаты среднего общего образования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/>
            <w:tcW w:w="2976" w:type="dxa"/>
            <w:vMerge w:val="restart"/>
          </w:tcPr>
          <w:p w14:paraId="4AF0C89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кв. метров на 1 учащегося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/>
            <w:tcW w:w="4252" w:type="dxa"/>
            <w:vMerge w:val="restart"/>
          </w:tcPr>
          <w:p w14:paraId="56DE7ED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при сменности 1,5: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  <w:p w14:paraId="292704D5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для городского округа, городских поселений в составе муниципального района - 33,07;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  <w:p w14:paraId="02C370F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для сельских поселений в составе муниципального района - 32,83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</w:tr>
      <w:tr>
        <w:trPr/>
        <w:tc>
          <w:tcPr>
            <w:tcBorders/>
            <w:tcW w:w="2834" w:type="dxa"/>
            <w:vMerge w:val="continue"/>
          </w:tcPr>
          <w:p w14:paraId="44510D0B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2976" w:type="dxa"/>
            <w:vMerge w:val="restart"/>
          </w:tcPr>
          <w:p w14:paraId="0977C44D">
            <w:pPr>
              <w:pBdr/>
              <w:spacing/>
              <w:ind/>
              <w:jc w:val="lef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количество учащихся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/>
            <w:tcW w:w="4252" w:type="dxa"/>
            <w:vMerge w:val="restart"/>
          </w:tcPr>
          <w:p w14:paraId="3BEAAFF4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на уровне проектной мощности учреждения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(в местах)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</w:tr>
      <w:tr>
        <w:trPr/>
        <w:tc>
          <w:tcPr>
            <w:tcBorders/>
            <w:tcW w:w="2834" w:type="dxa"/>
            <w:vMerge w:val="restart"/>
          </w:tcPr>
          <w:p w14:paraId="50868179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1.10. Санаторные школы-интернаты, санаторно-лесные школы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/>
            <w:tcW w:w="2976" w:type="dxa"/>
            <w:vMerge w:val="restart"/>
          </w:tcPr>
          <w:p w14:paraId="4AF0C89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кв. метров на 1 учащегося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  <w:tc>
          <w:tcPr>
            <w:tcBorders/>
            <w:tcW w:w="4252" w:type="dxa"/>
            <w:vMerge w:val="restart"/>
          </w:tcPr>
          <w:p w14:paraId="058EBF5C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для городского округа, городских поселений в составе муниципального района - 40,61;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  <w:p w14:paraId="0464700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для сельских поселений в составе муниципального района - 40,25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</w:tr>
      <w:tr>
        <w:trPr/>
        <w:tc>
          <w:tcPr>
            <w:tcBorders/>
            <w:tcW w:w="2834" w:type="dxa"/>
            <w:vMerge w:val="continue"/>
          </w:tcPr>
          <w:p w14:paraId="7B2AA3C3"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2976" w:type="dxa"/>
            <w:vMerge w:val="restart"/>
          </w:tcPr>
          <w:p w14:paraId="0977C44D">
            <w:pPr>
              <w:pBdr/>
              <w:spacing/>
              <w:ind/>
              <w:jc w:val="lef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количество учащихся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Borders/>
            <w:tcW w:w="4252" w:type="dxa"/>
            <w:vMerge w:val="restart"/>
          </w:tcPr>
          <w:p w14:paraId="3BEAAFF4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before="0" w:line="288" w:lineRule="atLeast"/>
              <w:ind w:right="0" w:firstLine="0"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на уровне проектной мощности учреждения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(в местах)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».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</w:tr>
    </w:tbl>
    <w:p w14:paraId="6AA76638">
      <w:pPr>
        <w:pBdr/>
        <w:spacing w:after="0" w:line="288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5B3AC029">
      <w:pPr>
        <w:pBdr/>
        <w:spacing w:after="0" w:line="288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88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88" w:lineRule="auto"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Премьер-министр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0" w:line="288" w:lineRule="auto"/>
        <w:ind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Республики Татарстан</w:t>
      </w:r>
      <w:r>
        <w:rPr>
          <w:rFonts w:ascii="Times New Roman" w:hAnsi="Times New Roman" w:eastAsia="Calibri" w:cs="Times New Roman"/>
          <w:sz w:val="28"/>
          <w:szCs w:val="28"/>
        </w:rPr>
        <w:t xml:space="preserve">                                                                             А.В.Песошин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 w14:paraId="5E7711A0">
      <w:pPr>
        <w:pBdr/>
        <w:spacing w:after="0" w:line="288" w:lineRule="auto"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05C3520B">
      <w:pPr>
        <w:pBdr/>
        <w:spacing w:after="0" w:line="288" w:lineRule="auto"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35A4DDA3">
      <w:pPr>
        <w:pBdr/>
        <w:spacing w:after="0" w:line="288" w:lineRule="auto"/>
        <w:ind/>
        <w:jc w:val="both"/>
        <w:rPr>
          <w:rFonts w:ascii="Times New Roman" w:hAnsi="Times New Roman" w:cs="Times New Roman"/>
          <w:sz w:val="28"/>
          <w:szCs w:val="28"/>
        </w:rPr>
        <w:sectPr>
          <w:headerReference w:type="default" r:id="rId8"/>
          <w:headerReference w:type="first" r:id="rId9"/>
          <w:footnotePr/>
          <w:endnotePr/>
          <w:type w:val="nextPage"/>
          <w:pgSz w:h="16838" w:orient="portrait" w:w="11905"/>
          <w:pgMar w:top="1134" w:right="567" w:bottom="1134" w:left="1134" w:header="709" w:footer="709" w:gutter="0"/>
          <w:pgNumType w:start="1"/>
          <w:cols w:num="1" w:sep="0" w:space="720" w:equalWidth="1"/>
          <w:titlePg/>
        </w:sect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735C7D2D">
      <w:pPr>
        <w:pBdr/>
        <w:spacing w:after="0" w:before="0" w:line="312" w:lineRule="auto"/>
        <w:ind w:firstLine="709"/>
        <w:jc w:val="center"/>
        <w:rPr>
          <w:rFonts w:ascii="Times New Roman" w:hAnsi="Times New Roman" w:cs="Times New Roman"/>
          <w:bCs w:val="0"/>
          <w:i w:val="0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3042285</wp:posOffset>
                </wp:positionH>
                <wp:positionV relativeFrom="paragraph">
                  <wp:posOffset>-272415</wp:posOffset>
                </wp:positionV>
                <wp:extent cx="390525" cy="257175"/>
                <wp:effectExtent l="0" t="0" r="9525" b="9525"/>
                <wp:wrapNone/>
                <wp:docPr id="1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645378667" name=""/>
                      <wps:cNvSpPr/>
                      <wps:spPr bwMode="auto">
                        <a:xfrm>
                          <a:off x="0" y="0"/>
                          <a:ext cx="390524" cy="2571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0" o:spid="_x0000_s0" o:spt="3" type="#_x0000_t3" style="position:absolute;z-index:251661312;o:allowoverlap:true;o:allowincell:true;mso-position-horizontal-relative:text;margin-left:239.55pt;mso-position-horizontal:absolute;mso-position-vertical-relative:text;margin-top:-21.45pt;mso-position-vertical:absolute;width:30.75pt;height:20.25pt;mso-wrap-distance-left:9.00pt;mso-wrap-distance-top:0.00pt;mso-wrap-distance-right:9.00pt;mso-wrap-distance-bottom:0.00pt;visibility:visible;" fillcolor="#FFFFFF" stroked="f" strokeweight="1.00pt">
                <v:stroke dashstyle="solid"/>
              </v:shape>
            </w:pict>
          </mc:Fallback>
        </mc:AlternateConten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  <w:lang w:eastAsia="ru-RU"/>
        </w:rPr>
        <w:t xml:space="preserve">Пояснительная записка 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  <w:lang w:eastAsia="ru-RU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white"/>
          <w14:ligatures w14:val="none"/>
        </w:rPr>
      </w:r>
    </w:p>
    <w:p w14:paraId="3D56BC42">
      <w:pPr>
        <w:pBdr/>
        <w:spacing w:after="0" w:before="0" w:line="312" w:lineRule="auto"/>
        <w:ind w:firstLine="709"/>
        <w:jc w:val="center"/>
        <w:rPr>
          <w:rFonts w:ascii="Times New Roman" w:hAnsi="Times New Roman" w:cs="Times New Roman"/>
          <w:bCs w:val="0"/>
          <w:i w:val="0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  <w:lang w:eastAsia="ru-RU"/>
        </w:rPr>
        <w:t xml:space="preserve">к проекту 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  <w:lang w:eastAsia="ru-RU"/>
        </w:rPr>
        <w:t xml:space="preserve">постановления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  <w:lang w:eastAsia="ru-RU"/>
        </w:rPr>
        <w:t xml:space="preserve"> 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  <w:lang w:eastAsia="ru-RU"/>
        </w:rPr>
        <w:t xml:space="preserve">Кабинета Министров Республики Татарстан 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  <w:lang w:eastAsia="ru-RU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white"/>
          <w14:ligatures w14:val="none"/>
        </w:rPr>
      </w:r>
    </w:p>
    <w:p w14:paraId="46541BBA">
      <w:pPr>
        <w:pBdr/>
        <w:spacing w:after="0" w:before="0" w:line="312" w:lineRule="auto"/>
        <w:ind w:firstLine="709"/>
        <w:jc w:val="center"/>
        <w:rPr>
          <w:rFonts w:ascii="Times New Roman" w:hAnsi="Times New Roman" w:cs="Times New Roman"/>
          <w:bCs w:val="0"/>
          <w:i w:val="0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«О внесении 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изменений 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в 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п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  <w:lang w:eastAsia="ru-RU"/>
        </w:rPr>
        <w:t xml:space="preserve">остановлени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  <w:lang w:eastAsia="ru-RU"/>
        </w:rPr>
        <w:t xml:space="preserve">е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  <w:lang w:eastAsia="ru-RU"/>
        </w:rPr>
        <w:t xml:space="preserve"> Кабинета Министров Республики Татарстан от 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  <w:lang w:eastAsia="ru-RU"/>
        </w:rPr>
        <w:t xml:space="preserve">26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  <w:lang w:eastAsia="ru-RU"/>
        </w:rPr>
        <w:t xml:space="preserve">.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  <w:lang w:eastAsia="ru-RU"/>
        </w:rPr>
        <w:t xml:space="preserve">01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  <w:lang w:eastAsia="ru-RU"/>
        </w:rPr>
        <w:t xml:space="preserve">.20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  <w:lang w:eastAsia="ru-RU"/>
        </w:rPr>
        <w:t xml:space="preserve">09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  <w:lang w:eastAsia="ru-RU"/>
        </w:rPr>
        <w:t xml:space="preserve"> № 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  <w:lang w:eastAsia="ru-RU"/>
        </w:rPr>
        <w:t xml:space="preserve">42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  <w:lang w:eastAsia="ru-RU"/>
        </w:rPr>
        <w:t xml:space="preserve"> 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«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Об установлении уровня социальных гарантий обеспеченности общественной инфраструктурой, социальными услугами 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white"/>
          <w14:ligatures w14:val="none"/>
        </w:rPr>
      </w:r>
    </w:p>
    <w:p w14:paraId="01932CF5">
      <w:pPr>
        <w:pBdr/>
        <w:spacing w:after="0" w:before="0" w:line="312" w:lineRule="auto"/>
        <w:ind w:firstLine="709"/>
        <w:jc w:val="center"/>
        <w:rPr>
          <w:rFonts w:ascii="Times New Roman" w:hAnsi="Times New Roman" w:cs="Times New Roman"/>
          <w:bCs w:val="0"/>
          <w:i w:val="0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до 2029 года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»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white"/>
          <w14:ligatures w14:val="none"/>
        </w:rPr>
      </w:r>
    </w:p>
    <w:p w14:paraId="12D8F4AA">
      <w:pPr>
        <w:pBdr/>
        <w:spacing w:after="0" w:before="0" w:line="312" w:lineRule="auto"/>
        <w:ind w:firstLine="709"/>
        <w:jc w:val="both"/>
        <w:rPr>
          <w:rFonts w:ascii="Times New Roman" w:hAnsi="Times New Roman" w:cs="Times New Roman"/>
          <w:bCs w:val="0"/>
          <w:i w:val="0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  <w:lang w:eastAsia="ru-RU"/>
        </w:rPr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  <w:lang w:eastAsia="ru-RU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white"/>
          <w14:ligatures w14:val="none"/>
        </w:rPr>
      </w:r>
    </w:p>
    <w:p w14:paraId="2302A660">
      <w:pPr>
        <w:pBdr/>
        <w:spacing w:after="0" w:before="0" w:line="312" w:lineRule="auto"/>
        <w:ind w:firstLine="709"/>
        <w:jc w:val="both"/>
        <w:rPr>
          <w:rFonts w:ascii="Times New Roman" w:hAnsi="Times New Roman" w:cs="Times New Roman"/>
          <w:bCs w:val="0"/>
          <w:i w:val="0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Проект 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  <w:lang w:eastAsia="ru-RU"/>
        </w:rPr>
        <w:t xml:space="preserve">постановления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Кабинета Министров Республики Татарстан 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«О внесении 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изменений в 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  <w:lang w:eastAsia="ru-RU"/>
        </w:rPr>
        <w:t xml:space="preserve">постановлени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  <w:lang w:eastAsia="ru-RU"/>
        </w:rPr>
        <w:t xml:space="preserve">е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  <w:lang w:eastAsia="ru-RU"/>
        </w:rPr>
        <w:t xml:space="preserve"> Кабинета Министров Республики Татарстан от 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  <w:lang w:eastAsia="ru-RU"/>
        </w:rPr>
        <w:t xml:space="preserve">26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  <w:lang w:eastAsia="ru-RU"/>
        </w:rPr>
        <w:t xml:space="preserve">.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  <w:lang w:eastAsia="ru-RU"/>
        </w:rPr>
        <w:t xml:space="preserve">01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  <w:lang w:eastAsia="ru-RU"/>
        </w:rPr>
        <w:t xml:space="preserve">.20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  <w:lang w:eastAsia="ru-RU"/>
        </w:rPr>
        <w:t xml:space="preserve">09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  <w:lang w:eastAsia="ru-RU"/>
        </w:rPr>
        <w:t xml:space="preserve"> № 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  <w:lang w:eastAsia="ru-RU"/>
        </w:rPr>
        <w:t xml:space="preserve">42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  <w:lang w:eastAsia="ru-RU"/>
        </w:rPr>
        <w:t xml:space="preserve"> 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«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Об уст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ановлении уровня социальных гарантий обеспеченности общественной инфраструктурой, социальными услугами до 2029 года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»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разработан 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в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 связи с 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необходимостью 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оценивать обеспеченность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 услугами дошкольных и общеобразовательных учреждений с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 использованием проектной мощности для целей принятия решения о включении 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объектов в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программы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 развития общественной инфраструктуры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white"/>
          <w14:ligatures w14:val="none"/>
        </w:rPr>
      </w:r>
    </w:p>
    <w:p w14:paraId="650102A9">
      <w:pPr>
        <w:pBdr/>
        <w:spacing w:after="0" w:before="0" w:line="312" w:lineRule="auto"/>
        <w:ind w:firstLine="709"/>
        <w:jc w:val="both"/>
        <w:rPr>
          <w:rFonts w:ascii="Times New Roman" w:hAnsi="Times New Roman" w:cs="Times New Roman"/>
          <w:bCs w:val="0"/>
          <w:i w:val="0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Настоящим проектом постановления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 вносятся изменения в части 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дополнения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 уровня социальных гарантий 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по 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дошкольным и общеобразовательным учреждени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ям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 – устанавливается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соответствие проектной мощности учреждения числу воспитанников (занимающихся) учреждений.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white"/>
          <w14:ligatures w14:val="none"/>
        </w:rPr>
      </w:r>
    </w:p>
    <w:p w14:paraId="3CA6ACF5">
      <w:pPr>
        <w:pBdr/>
        <w:spacing w:after="0" w:before="0" w:line="312" w:lineRule="auto"/>
        <w:ind w:firstLine="709"/>
        <w:jc w:val="both"/>
        <w:rPr>
          <w:rFonts w:ascii="Times New Roman" w:hAnsi="Times New Roman" w:cs="Times New Roman"/>
          <w:bCs w:val="0"/>
          <w:i w:val="0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Принятие данного проекта постановления не потребует выделения дополнительных средств из бюджета Республики Татарстан.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white"/>
          <w14:ligatures w14:val="none"/>
        </w:rPr>
      </w:r>
    </w:p>
    <w:p w14:paraId="057554B9">
      <w:pPr>
        <w:pBdr/>
        <w:spacing w:after="0" w:before="0" w:line="312" w:lineRule="auto"/>
        <w:ind w:firstLine="709"/>
        <w:jc w:val="both"/>
        <w:rPr>
          <w:rFonts w:ascii="Times New Roman" w:hAnsi="Times New Roman" w:cs="Times New Roman"/>
          <w:bCs w:val="0"/>
          <w:i w:val="0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Необходимость в проведении о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ценки регулирующего воздействия проекта постановления Кабинета Министров Республики Татарстан отсутствует.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white"/>
          <w14:ligatures w14:val="none"/>
        </w:rPr>
      </w:r>
    </w:p>
    <w:p w14:paraId="26D85A3E">
      <w:pPr>
        <w:pBdr/>
        <w:spacing w:after="0" w:before="0" w:line="312" w:lineRule="auto"/>
        <w:ind w:firstLine="709"/>
        <w:jc w:val="both"/>
        <w:rPr>
          <w:rFonts w:ascii="Times New Roman" w:hAnsi="Times New Roman" w:cs="Times New Roman"/>
          <w:bCs w:val="0"/>
          <w:i w:val="0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По итогам независимой антикоррупционной экспертизы проекта постановления Кабинета Министров Республики Татарстан заключений не поступало.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white"/>
          <w14:ligatures w14:val="none"/>
        </w:rPr>
      </w:r>
    </w:p>
    <w:p w14:paraId="6C97AA9E">
      <w:pPr>
        <w:pBdr/>
        <w:spacing w:after="0" w:before="0" w:line="312" w:lineRule="auto"/>
        <w:ind w:firstLine="709"/>
        <w:jc w:val="both"/>
        <w:rPr>
          <w:rFonts w:ascii="Times New Roman" w:hAnsi="Times New Roman" w:cs="Times New Roman"/>
          <w:bCs w:val="0"/>
          <w:i w:val="0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white"/>
          <w14:ligatures w14:val="none"/>
        </w:rPr>
      </w:r>
    </w:p>
    <w:p w14:paraId="3A74E83D">
      <w:pPr>
        <w:pBdr/>
        <w:spacing w:after="0" w:line="288" w:lineRule="auto"/>
        <w: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h="16838" w:orient="portrait" w:w="11905"/>
      <w:pgMar w:top="1134" w:right="567" w:bottom="1134" w:left="1134" w:header="0" w:footer="0" w:gutter="0"/>
      <w:cols w:num="1" w:sep="0" w:space="720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844441830"/>
      <w:docPartObj>
        <w:docPartGallery w:val="Page Numbers (Top of Page)"/>
        <w:docPartUnique w:val="true"/>
      </w:docPartObj>
      <w:rPr/>
    </w:sdtPr>
    <w:sdtContent>
      <w:p>
        <w:pPr>
          <w:pStyle w:val="918"/>
          <w:pBdr/>
          <w:spacing/>
          <w:ind/>
          <w:jc w:val="center"/>
          <w:rPr/>
        </w:pPr>
        <w:r/>
        <w:r/>
      </w:p>
      <w:p>
        <w:pPr>
          <w:pStyle w:val="918"/>
          <w:pBdr/>
          <w:spacing/>
          <w:ind/>
          <w:jc w:val="center"/>
          <w:rPr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  <w:p>
    <w:pPr>
      <w:pStyle w:val="918"/>
      <w:pBdr/>
      <w:spacing/>
      <w:ind/>
      <w:rPr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3FD9C899">
    <w:pPr>
      <w:pStyle w:val="918"/>
      <w:pBdr/>
      <w:spacing/>
      <w:ind/>
      <w:rPr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29">
    <w:name w:val="Table Grid Light"/>
    <w:basedOn w:val="91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Plain Table 1"/>
    <w:basedOn w:val="91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Plain Table 2"/>
    <w:basedOn w:val="91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Plain Table 3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Plain Table 4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Plain Table 5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1 Light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1 Light - Accent 1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1 Light - Accent 2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1 Light - Accent 3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1 Light - Accent 4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1 Light - Accent 5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1 Light - Accent 6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2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2 - Accent 1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2 - Accent 2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2 - Accent 3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2 - Accent 4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2 - Accent 5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2 - Accent 6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3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3 - Accent 1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3 - Accent 2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3 - Accent 3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3 - Accent 4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3 - Accent 5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3 - Accent 6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4"/>
    <w:basedOn w:val="91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4 - Accent 1"/>
    <w:basedOn w:val="91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4 - Accent 2"/>
    <w:basedOn w:val="91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4 - Accent 3"/>
    <w:basedOn w:val="91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4 - Accent 4"/>
    <w:basedOn w:val="91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4 - Accent 5"/>
    <w:basedOn w:val="91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4 - Accent 6"/>
    <w:basedOn w:val="91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5 Dark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5 Dark- Accent 1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5 Dark - Accent 2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5 Dark - Accent 3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5 Dark- Accent 4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5 Dark - Accent 5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5 Dark - Accent 6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6 Colorful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6 Colorful - Accent 1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6 Colorful - Accent 2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6 Colorful - Accent 3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6 Colorful - Accent 4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6 Colorful - Accent 5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6 Colorful - Accent 6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7 Colorful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7 Colorful - Accent 1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7 Colorful - Accent 2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7 Colorful - Accent 3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7 Colorful - Accent 4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7 Colorful - Accent 5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7 Colorful - Accent 6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1 Light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1 Light - Accent 1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1 Light - Accent 2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1 Light - Accent 3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1 Light - Accent 4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1 Light - Accent 5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1 Light - Accent 6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2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2 - Accent 1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2 - Accent 2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2 - Accent 3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2 - Accent 4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2 - Accent 5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2 - Accent 6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3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3 - Accent 1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3 - Accent 2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3 - Accent 3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3 - Accent 4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3 - Accent 5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3 - Accent 6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4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4 - Accent 1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4 - Accent 2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4 - Accent 3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4 - Accent 4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4 - Accent 5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4 - Accent 6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5 Dark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5 Dark - Accent 1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5 Dark - Accent 2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5 Dark - Accent 3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5 Dark - Accent 4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5 Dark - Accent 5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5 Dark - Accent 6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6 Colorful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6 Colorful - Accent 1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6 Colorful - Accent 2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6 Colorful - Accent 3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6 Colorful - Accent 4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6 Colorful - Accent 5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6 Colorful - Accent 6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7 Colorful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7 Colorful - Accent 1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7 Colorful - Accent 2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7 Colorful - Accent 3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7 Colorful - Accent 4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7 Colorful - Accent 5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7 Colorful - Accent 6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ned - Accent"/>
    <w:basedOn w:val="9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ned - Accent 1"/>
    <w:basedOn w:val="9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ned - Accent 2"/>
    <w:basedOn w:val="9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ned - Accent 3"/>
    <w:basedOn w:val="9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ned - Accent 4"/>
    <w:basedOn w:val="9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ned - Accent 5"/>
    <w:basedOn w:val="9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ned - Accent 6"/>
    <w:basedOn w:val="9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Bordered &amp; Lined - Accent"/>
    <w:basedOn w:val="9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Bordered &amp; Lined - Accent 1"/>
    <w:basedOn w:val="9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Bordered &amp; Lined - Accent 2"/>
    <w:basedOn w:val="9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Bordered &amp; Lined - Accent 3"/>
    <w:basedOn w:val="9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Bordered &amp; Lined - Accent 4"/>
    <w:basedOn w:val="9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Bordered &amp; Lined - Accent 5"/>
    <w:basedOn w:val="9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Bordered &amp; Lined - Accent 6"/>
    <w:basedOn w:val="9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Bordered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Bordered - Accent 1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Bordered - Accent 2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Bordered - Accent 3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Bordered - Accent 4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Bordered - Accent 5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Bordered - Accent 6"/>
    <w:basedOn w:val="9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54">
    <w:name w:val="Heading 1"/>
    <w:basedOn w:val="911"/>
    <w:next w:val="911"/>
    <w:link w:val="863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55">
    <w:name w:val="Heading 2"/>
    <w:basedOn w:val="911"/>
    <w:next w:val="911"/>
    <w:link w:val="864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56">
    <w:name w:val="Heading 3"/>
    <w:basedOn w:val="911"/>
    <w:next w:val="911"/>
    <w:link w:val="865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57">
    <w:name w:val="Heading 4"/>
    <w:basedOn w:val="911"/>
    <w:next w:val="911"/>
    <w:link w:val="866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58">
    <w:name w:val="Heading 5"/>
    <w:basedOn w:val="911"/>
    <w:next w:val="911"/>
    <w:link w:val="867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59">
    <w:name w:val="Heading 6"/>
    <w:basedOn w:val="911"/>
    <w:next w:val="911"/>
    <w:link w:val="868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60">
    <w:name w:val="Heading 7"/>
    <w:basedOn w:val="911"/>
    <w:next w:val="911"/>
    <w:link w:val="869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61">
    <w:name w:val="Heading 8"/>
    <w:basedOn w:val="911"/>
    <w:next w:val="911"/>
    <w:link w:val="870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62">
    <w:name w:val="Heading 9"/>
    <w:basedOn w:val="911"/>
    <w:next w:val="911"/>
    <w:link w:val="871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63">
    <w:name w:val="Heading 1 Char"/>
    <w:basedOn w:val="912"/>
    <w:link w:val="85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64">
    <w:name w:val="Heading 2 Char"/>
    <w:basedOn w:val="912"/>
    <w:link w:val="85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65">
    <w:name w:val="Heading 3 Char"/>
    <w:basedOn w:val="912"/>
    <w:link w:val="85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66">
    <w:name w:val="Heading 4 Char"/>
    <w:basedOn w:val="912"/>
    <w:link w:val="857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67">
    <w:name w:val="Heading 5 Char"/>
    <w:basedOn w:val="912"/>
    <w:link w:val="85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68">
    <w:name w:val="Heading 6 Char"/>
    <w:basedOn w:val="912"/>
    <w:link w:val="859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69">
    <w:name w:val="Heading 7 Char"/>
    <w:basedOn w:val="912"/>
    <w:link w:val="860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70">
    <w:name w:val="Heading 8 Char"/>
    <w:basedOn w:val="912"/>
    <w:link w:val="86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71">
    <w:name w:val="Heading 9 Char"/>
    <w:basedOn w:val="912"/>
    <w:link w:val="86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72">
    <w:name w:val="Title"/>
    <w:basedOn w:val="911"/>
    <w:next w:val="911"/>
    <w:link w:val="873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73">
    <w:name w:val="Title Char"/>
    <w:basedOn w:val="912"/>
    <w:link w:val="872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74">
    <w:name w:val="Subtitle"/>
    <w:basedOn w:val="911"/>
    <w:next w:val="911"/>
    <w:link w:val="875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75">
    <w:name w:val="Subtitle Char"/>
    <w:basedOn w:val="912"/>
    <w:link w:val="874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76">
    <w:name w:val="Quote"/>
    <w:basedOn w:val="911"/>
    <w:next w:val="911"/>
    <w:link w:val="877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77">
    <w:name w:val="Quote Char"/>
    <w:basedOn w:val="912"/>
    <w:link w:val="876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78">
    <w:name w:val="Intense Emphasis"/>
    <w:basedOn w:val="912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79">
    <w:name w:val="Intense Quote"/>
    <w:basedOn w:val="911"/>
    <w:next w:val="911"/>
    <w:link w:val="880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80">
    <w:name w:val="Intense Quote Char"/>
    <w:basedOn w:val="912"/>
    <w:link w:val="879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81">
    <w:name w:val="Intense Reference"/>
    <w:basedOn w:val="912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82">
    <w:name w:val="No Spacing"/>
    <w:basedOn w:val="911"/>
    <w:uiPriority w:val="1"/>
    <w:qFormat/>
    <w:pPr>
      <w:pBdr/>
      <w:spacing w:after="0" w:line="240" w:lineRule="auto"/>
      <w:ind/>
    </w:pPr>
  </w:style>
  <w:style w:type="character" w:styleId="883">
    <w:name w:val="Subtle Emphasis"/>
    <w:basedOn w:val="912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84">
    <w:name w:val="Emphasis"/>
    <w:basedOn w:val="912"/>
    <w:uiPriority w:val="20"/>
    <w:qFormat/>
    <w:pPr>
      <w:pBdr/>
      <w:spacing/>
      <w:ind/>
    </w:pPr>
    <w:rPr>
      <w:i/>
      <w:iCs/>
    </w:rPr>
  </w:style>
  <w:style w:type="character" w:styleId="885">
    <w:name w:val="Strong"/>
    <w:basedOn w:val="912"/>
    <w:uiPriority w:val="22"/>
    <w:qFormat/>
    <w:pPr>
      <w:pBdr/>
      <w:spacing/>
      <w:ind/>
    </w:pPr>
    <w:rPr>
      <w:b/>
      <w:bCs/>
    </w:rPr>
  </w:style>
  <w:style w:type="character" w:styleId="886">
    <w:name w:val="Subtle Reference"/>
    <w:basedOn w:val="912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87">
    <w:name w:val="Book Title"/>
    <w:basedOn w:val="912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888">
    <w:name w:val="Header Char"/>
    <w:basedOn w:val="912"/>
    <w:link w:val="918"/>
    <w:uiPriority w:val="99"/>
    <w:pPr>
      <w:pBdr/>
      <w:spacing/>
      <w:ind/>
    </w:pPr>
  </w:style>
  <w:style w:type="character" w:styleId="889">
    <w:name w:val="Footer Char"/>
    <w:basedOn w:val="912"/>
    <w:link w:val="920"/>
    <w:uiPriority w:val="99"/>
    <w:pPr>
      <w:pBdr/>
      <w:spacing/>
      <w:ind/>
    </w:pPr>
  </w:style>
  <w:style w:type="paragraph" w:styleId="890">
    <w:name w:val="Caption"/>
    <w:basedOn w:val="911"/>
    <w:next w:val="911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91">
    <w:name w:val="footnote text"/>
    <w:basedOn w:val="911"/>
    <w:link w:val="89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92">
    <w:name w:val="Footnote Text Char"/>
    <w:basedOn w:val="912"/>
    <w:link w:val="891"/>
    <w:uiPriority w:val="99"/>
    <w:semiHidden/>
    <w:pPr>
      <w:pBdr/>
      <w:spacing/>
      <w:ind/>
    </w:pPr>
    <w:rPr>
      <w:sz w:val="20"/>
      <w:szCs w:val="20"/>
    </w:rPr>
  </w:style>
  <w:style w:type="character" w:styleId="893">
    <w:name w:val="footnote reference"/>
    <w:basedOn w:val="912"/>
    <w:uiPriority w:val="99"/>
    <w:semiHidden/>
    <w:unhideWhenUsed/>
    <w:pPr>
      <w:pBdr/>
      <w:spacing/>
      <w:ind/>
    </w:pPr>
    <w:rPr>
      <w:vertAlign w:val="superscript"/>
    </w:rPr>
  </w:style>
  <w:style w:type="paragraph" w:styleId="894">
    <w:name w:val="endnote text"/>
    <w:basedOn w:val="911"/>
    <w:link w:val="89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95">
    <w:name w:val="Endnote Text Char"/>
    <w:basedOn w:val="912"/>
    <w:link w:val="894"/>
    <w:uiPriority w:val="99"/>
    <w:semiHidden/>
    <w:pPr>
      <w:pBdr/>
      <w:spacing/>
      <w:ind/>
    </w:pPr>
    <w:rPr>
      <w:sz w:val="20"/>
      <w:szCs w:val="20"/>
    </w:rPr>
  </w:style>
  <w:style w:type="character" w:styleId="896">
    <w:name w:val="endnote reference"/>
    <w:basedOn w:val="912"/>
    <w:uiPriority w:val="99"/>
    <w:semiHidden/>
    <w:unhideWhenUsed/>
    <w:pPr>
      <w:pBdr/>
      <w:spacing/>
      <w:ind/>
    </w:pPr>
    <w:rPr>
      <w:vertAlign w:val="superscript"/>
    </w:rPr>
  </w:style>
  <w:style w:type="character" w:styleId="897">
    <w:name w:val="Hyperlink"/>
    <w:basedOn w:val="912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98">
    <w:name w:val="FollowedHyperlink"/>
    <w:basedOn w:val="912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99">
    <w:name w:val="toc 1"/>
    <w:basedOn w:val="911"/>
    <w:next w:val="911"/>
    <w:uiPriority w:val="39"/>
    <w:unhideWhenUsed/>
    <w:pPr>
      <w:pBdr/>
      <w:spacing w:after="100"/>
      <w:ind/>
    </w:pPr>
  </w:style>
  <w:style w:type="paragraph" w:styleId="900">
    <w:name w:val="toc 2"/>
    <w:basedOn w:val="911"/>
    <w:next w:val="911"/>
    <w:uiPriority w:val="39"/>
    <w:unhideWhenUsed/>
    <w:pPr>
      <w:pBdr/>
      <w:spacing w:after="100"/>
      <w:ind w:left="220"/>
    </w:pPr>
  </w:style>
  <w:style w:type="paragraph" w:styleId="901">
    <w:name w:val="toc 3"/>
    <w:basedOn w:val="911"/>
    <w:next w:val="911"/>
    <w:uiPriority w:val="39"/>
    <w:unhideWhenUsed/>
    <w:pPr>
      <w:pBdr/>
      <w:spacing w:after="100"/>
      <w:ind w:left="440"/>
    </w:pPr>
  </w:style>
  <w:style w:type="paragraph" w:styleId="902">
    <w:name w:val="toc 4"/>
    <w:basedOn w:val="911"/>
    <w:next w:val="911"/>
    <w:uiPriority w:val="39"/>
    <w:unhideWhenUsed/>
    <w:pPr>
      <w:pBdr/>
      <w:spacing w:after="100"/>
      <w:ind w:left="660"/>
    </w:pPr>
  </w:style>
  <w:style w:type="paragraph" w:styleId="903">
    <w:name w:val="toc 5"/>
    <w:basedOn w:val="911"/>
    <w:next w:val="911"/>
    <w:uiPriority w:val="39"/>
    <w:unhideWhenUsed/>
    <w:pPr>
      <w:pBdr/>
      <w:spacing w:after="100"/>
      <w:ind w:left="880"/>
    </w:pPr>
  </w:style>
  <w:style w:type="paragraph" w:styleId="904">
    <w:name w:val="toc 6"/>
    <w:basedOn w:val="911"/>
    <w:next w:val="911"/>
    <w:uiPriority w:val="39"/>
    <w:unhideWhenUsed/>
    <w:pPr>
      <w:pBdr/>
      <w:spacing w:after="100"/>
      <w:ind w:left="1100"/>
    </w:pPr>
  </w:style>
  <w:style w:type="paragraph" w:styleId="905">
    <w:name w:val="toc 7"/>
    <w:basedOn w:val="911"/>
    <w:next w:val="911"/>
    <w:uiPriority w:val="39"/>
    <w:unhideWhenUsed/>
    <w:pPr>
      <w:pBdr/>
      <w:spacing w:after="100"/>
      <w:ind w:left="1320"/>
    </w:pPr>
  </w:style>
  <w:style w:type="paragraph" w:styleId="906">
    <w:name w:val="toc 8"/>
    <w:basedOn w:val="911"/>
    <w:next w:val="911"/>
    <w:uiPriority w:val="39"/>
    <w:unhideWhenUsed/>
    <w:pPr>
      <w:pBdr/>
      <w:spacing w:after="100"/>
      <w:ind w:left="1540"/>
    </w:pPr>
  </w:style>
  <w:style w:type="paragraph" w:styleId="907">
    <w:name w:val="toc 9"/>
    <w:basedOn w:val="911"/>
    <w:next w:val="911"/>
    <w:uiPriority w:val="39"/>
    <w:unhideWhenUsed/>
    <w:pPr>
      <w:pBdr/>
      <w:spacing w:after="100"/>
      <w:ind w:left="1760"/>
    </w:pPr>
  </w:style>
  <w:style w:type="character" w:styleId="908">
    <w:name w:val="Placeholder Text"/>
    <w:basedOn w:val="912"/>
    <w:uiPriority w:val="99"/>
    <w:semiHidden/>
    <w:pPr>
      <w:pBdr/>
      <w:spacing/>
      <w:ind/>
    </w:pPr>
    <w:rPr>
      <w:color w:val="666666"/>
    </w:rPr>
  </w:style>
  <w:style w:type="paragraph" w:styleId="909">
    <w:name w:val="TOC Heading"/>
    <w:uiPriority w:val="39"/>
    <w:unhideWhenUsed/>
    <w:pPr>
      <w:pBdr/>
      <w:spacing/>
      <w:ind/>
    </w:pPr>
  </w:style>
  <w:style w:type="paragraph" w:styleId="910">
    <w:name w:val="table of figures"/>
    <w:basedOn w:val="911"/>
    <w:next w:val="911"/>
    <w:uiPriority w:val="99"/>
    <w:unhideWhenUsed/>
    <w:pPr>
      <w:pBdr/>
      <w:spacing w:after="0" w:afterAutospacing="0"/>
      <w:ind/>
    </w:pPr>
  </w:style>
  <w:style w:type="paragraph" w:styleId="911" w:default="1">
    <w:name w:val="Normal"/>
    <w:qFormat/>
    <w:pPr>
      <w:pBdr/>
      <w:spacing/>
      <w:ind/>
    </w:pPr>
  </w:style>
  <w:style w:type="character" w:styleId="912" w:default="1">
    <w:name w:val="Default Paragraph Font"/>
    <w:uiPriority w:val="1"/>
    <w:semiHidden/>
    <w:unhideWhenUsed/>
    <w:pPr>
      <w:pBdr/>
      <w:spacing/>
      <w:ind/>
    </w:pPr>
  </w:style>
  <w:style w:type="table" w:styleId="913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14" w:default="1">
    <w:name w:val="No List"/>
    <w:uiPriority w:val="99"/>
    <w:semiHidden/>
    <w:unhideWhenUsed/>
    <w:pPr>
      <w:pBdr/>
      <w:spacing/>
      <w:ind/>
    </w:pPr>
  </w:style>
  <w:style w:type="paragraph" w:styleId="915" w:customStyle="1">
    <w:name w:val="ConsPlusNormal"/>
    <w:pPr>
      <w:widowControl w:val="false"/>
      <w:pBdr/>
      <w:spacing w:after="0" w:line="240" w:lineRule="auto"/>
      <w:ind/>
    </w:pPr>
    <w:rPr>
      <w:rFonts w:ascii="Calibri" w:hAnsi="Calibri" w:cs="Calibri" w:eastAsiaTheme="minorEastAsia"/>
      <w:lang w:eastAsia="ru-RU"/>
    </w:rPr>
  </w:style>
  <w:style w:type="table" w:styleId="916">
    <w:name w:val="Table Grid"/>
    <w:basedOn w:val="913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17">
    <w:name w:val="List Paragraph"/>
    <w:basedOn w:val="911"/>
    <w:uiPriority w:val="34"/>
    <w:qFormat/>
    <w:pPr>
      <w:pBdr/>
      <w:spacing/>
      <w:ind w:left="720"/>
      <w:contextualSpacing w:val="true"/>
    </w:pPr>
  </w:style>
  <w:style w:type="paragraph" w:styleId="918">
    <w:name w:val="Header"/>
    <w:basedOn w:val="911"/>
    <w:link w:val="919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919" w:customStyle="1">
    <w:name w:val="Верхний колонтитул Знак"/>
    <w:basedOn w:val="912"/>
    <w:link w:val="918"/>
    <w:uiPriority w:val="99"/>
    <w:pPr>
      <w:pBdr/>
      <w:spacing/>
      <w:ind/>
    </w:pPr>
  </w:style>
  <w:style w:type="paragraph" w:styleId="920">
    <w:name w:val="Footer"/>
    <w:basedOn w:val="911"/>
    <w:link w:val="921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921" w:customStyle="1">
    <w:name w:val="Нижний колонтитул Знак"/>
    <w:basedOn w:val="912"/>
    <w:link w:val="920"/>
    <w:uiPriority w:val="99"/>
    <w:pPr>
      <w:pBdr/>
      <w:spacing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yperlink" Target="https://login.consultant.ru/link/?req=doc&amp;base=RLAW363&amp;n=180635&amp;dst=100005&amp;field=134&amp;date=18.05.2026" TargetMode="External"/><Relationship Id="rId11" Type="http://schemas.openxmlformats.org/officeDocument/2006/relationships/hyperlink" Target="https://login.consultant.ru/link/?req=doc&amp;base=RLAW363&amp;n=181249&amp;dst=100005&amp;field=134&amp;date=18.05.2026" TargetMode="External"/><Relationship Id="rId12" Type="http://schemas.openxmlformats.org/officeDocument/2006/relationships/hyperlink" Target="https://login.consultant.ru/link/?req=doc&amp;base=RLAW363&amp;n=183609&amp;dst=100005&amp;field=134&amp;date=18.05.2026" TargetMode="External"/><Relationship Id="rId13" Type="http://schemas.openxmlformats.org/officeDocument/2006/relationships/hyperlink" Target="https://login.consultant.ru/link/?req=doc&amp;base=RLAW363&amp;n=196485&amp;dst=100005&amp;field=134&amp;date=18.05.2026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cesi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Зиганшина Ландыш Азатовна</dc:creator>
  <cp:keywords/>
  <dc:description/>
  <cp:revision>13</cp:revision>
  <dcterms:created xsi:type="dcterms:W3CDTF">2023-11-13T07:16:00Z</dcterms:created>
  <dcterms:modified xsi:type="dcterms:W3CDTF">2026-07-22T06:58:10Z</dcterms:modified>
</cp:coreProperties>
</file>