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94"/>
        <w:pBdr/>
        <w:spacing/>
        <w:ind w:right="60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4"/>
        <w:pBdr/>
        <w:spacing/>
        <w:ind w:right="605" w:firstLine="54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4"/>
        <w:pBdr/>
        <w:spacing/>
        <w:ind w:right="605" w:firstLine="54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4"/>
        <w:suppressLineNumbers w:val="false"/>
        <w:pBdr/>
        <w:spacing/>
        <w:ind w:right="605" w:firstLine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4"/>
        <w:suppressLineNumbers w:val="false"/>
        <w:pBdr/>
        <w:spacing/>
        <w:ind w:right="605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4"/>
        <w:suppressLineNumbers w:val="false"/>
        <w:pBdr/>
        <w:spacing/>
        <w:ind w:right="605" w:firstLine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4"/>
        <w:suppressLineNumbers w:val="false"/>
        <w:pBdr/>
        <w:spacing/>
        <w:ind w:right="605" w:firstLine="0"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 w14:paraId="60E20D66">
      <w:pPr>
        <w:pStyle w:val="994"/>
        <w:suppressLineNumbers w:val="false"/>
        <w:pBdr/>
        <w:spacing/>
        <w:ind w:right="605" w:firstLine="0"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pStyle w:val="994"/>
        <w:suppressLineNumbers w:val="false"/>
        <w:pBdr/>
        <w:spacing/>
        <w:ind w:right="605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«_____» ________2026                                                                  №______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4"/>
        <w:suppressLineNumbers w:val="false"/>
        <w:pBdr/>
        <w:tabs>
          <w:tab w:val="left" w:leader="none" w:pos="709"/>
        </w:tabs>
        <w:spacing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9"/>
        <w:pBdr/>
        <w:tabs>
          <w:tab w:val="left" w:leader="none" w:pos="7513"/>
        </w:tabs>
        <w:spacing/>
        <w:ind w:right="566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</w:p>
    <w:p>
      <w:pPr>
        <w:pStyle w:val="999"/>
        <w:pBdr/>
        <w:tabs>
          <w:tab w:val="left" w:leader="none" w:pos="7513"/>
        </w:tabs>
        <w:spacing/>
        <w:ind w:right="566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</w:p>
    <w:p>
      <w:pPr>
        <w:pStyle w:val="999"/>
        <w:pBdr/>
        <w:tabs>
          <w:tab w:val="left" w:leader="none" w:pos="7513"/>
        </w:tabs>
        <w:spacing w:line="276" w:lineRule="auto"/>
        <w:ind w:right="566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</w:p>
    <w:p>
      <w:pPr>
        <w:pStyle w:val="999"/>
        <w:pBdr/>
        <w:tabs>
          <w:tab w:val="left" w:leader="none" w:pos="7513"/>
        </w:tabs>
        <w:spacing w:line="276" w:lineRule="auto"/>
        <w:ind w:right="5669"/>
        <w:jc w:val="both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  <w:t xml:space="preserve">О внесении изменения в </w:t>
      </w:r>
      <w:r>
        <w:rPr>
          <w:b w:val="0"/>
          <w:sz w:val="28"/>
          <w:szCs w:val="28"/>
        </w:rPr>
        <w:t xml:space="preserve">Стандарт структуры центрального аппарата республиканского органа исполнительной власти, утвержденный </w:t>
      </w:r>
      <w:r>
        <w:rPr>
          <w:b w:val="0"/>
          <w:bCs w:val="0"/>
          <w:sz w:val="28"/>
          <w:szCs w:val="28"/>
        </w:rPr>
        <w:t xml:space="preserve">постановление</w:t>
      </w:r>
      <w:r>
        <w:rPr>
          <w:b w:val="0"/>
          <w:bCs w:val="0"/>
          <w:sz w:val="28"/>
          <w:szCs w:val="28"/>
        </w:rPr>
        <w:t xml:space="preserve">м</w:t>
      </w:r>
      <w:r>
        <w:rPr>
          <w:b w:val="0"/>
          <w:bCs w:val="0"/>
          <w:sz w:val="28"/>
          <w:szCs w:val="28"/>
        </w:rPr>
        <w:t xml:space="preserve"> Кабинета Министров Республики Татарстан </w:t>
      </w:r>
      <w:r>
        <w:rPr>
          <w:b w:val="0"/>
          <w:bCs w:val="0"/>
          <w:sz w:val="28"/>
          <w:szCs w:val="28"/>
        </w:rPr>
        <w:t xml:space="preserve">от 26.06.2023 </w:t>
      </w:r>
      <w:r>
        <w:rPr>
          <w:b w:val="0"/>
          <w:bCs w:val="0"/>
          <w:sz w:val="28"/>
          <w:szCs w:val="28"/>
        </w:rPr>
        <w:t xml:space="preserve">№</w:t>
      </w:r>
      <w:r>
        <w:rPr>
          <w:b w:val="0"/>
          <w:bCs w:val="0"/>
          <w:sz w:val="28"/>
          <w:szCs w:val="28"/>
        </w:rPr>
        <w:t xml:space="preserve">752 </w:t>
      </w:r>
      <w:r>
        <w:rPr>
          <w:b w:val="0"/>
          <w:bCs w:val="0"/>
          <w:sz w:val="28"/>
          <w:szCs w:val="28"/>
        </w:rPr>
        <w:t xml:space="preserve">«</w:t>
      </w:r>
      <w:r>
        <w:rPr>
          <w:b w:val="0"/>
          <w:bCs w:val="0"/>
          <w:sz w:val="28"/>
          <w:szCs w:val="28"/>
        </w:rPr>
        <w:t xml:space="preserve">Об организации деятельности республиканских органов исполнительной власти</w:t>
      </w:r>
      <w:r>
        <w:rPr>
          <w:b w:val="0"/>
          <w:bCs w:val="0"/>
          <w:sz w:val="28"/>
          <w:szCs w:val="28"/>
        </w:rPr>
        <w:t xml:space="preserve">»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994"/>
        <w:pBdr/>
        <w:tabs>
          <w:tab w:val="left" w:leader="none" w:pos="709"/>
        </w:tabs>
        <w:spacing w:line="276" w:lineRule="auto"/>
        <w:ind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06"/>
        <w:pBdr/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 Министров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ПОСТАНОВЛЯЕТ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06"/>
        <w:pBdr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55A36C4">
      <w:pPr>
        <w:pStyle w:val="994"/>
        <w:numPr>
          <w:ilvl w:val="0"/>
          <w:numId w:val="20"/>
        </w:numPr>
        <w:pBdr/>
        <w:tabs>
          <w:tab w:val="left" w:leader="none" w:pos="993"/>
        </w:tabs>
        <w:spacing w:line="360" w:lineRule="auto"/>
        <w:ind w:firstLine="709" w:left="0"/>
        <w:jc w:val="both"/>
        <w:rPr/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нести в</w:t>
      </w:r>
      <w:r>
        <w:rPr>
          <w:sz w:val="28"/>
          <w:szCs w:val="28"/>
        </w:rPr>
        <w:t xml:space="preserve"> Стандарт структуры центрального аппарата </w:t>
      </w:r>
      <w:r>
        <w:rPr>
          <w:sz w:val="28"/>
          <w:szCs w:val="28"/>
        </w:rPr>
        <w:t xml:space="preserve">республиканского </w:t>
      </w:r>
      <w:r>
        <w:rPr>
          <w:sz w:val="28"/>
          <w:szCs w:val="28"/>
        </w:rPr>
        <w:t xml:space="preserve">органа </w:t>
      </w:r>
      <w:r>
        <w:rPr>
          <w:sz w:val="28"/>
          <w:szCs w:val="28"/>
        </w:rPr>
        <w:t xml:space="preserve">исполнительной </w:t>
      </w:r>
      <w:r>
        <w:rPr>
          <w:sz w:val="28"/>
          <w:szCs w:val="28"/>
        </w:rPr>
        <w:t xml:space="preserve">власти, утвержденный </w:t>
      </w: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Кабинета Министров Республики Татарстан </w:t>
      </w:r>
      <w:r>
        <w:rPr>
          <w:sz w:val="28"/>
          <w:szCs w:val="28"/>
        </w:rPr>
        <w:t xml:space="preserve">от 26.06.2023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752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 организации деятельности республиканских органов исполнительной власти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 изменени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, внесенным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Кабинета Министров Республики Татарстан от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.20</w:t>
      </w:r>
      <w:r>
        <w:rPr>
          <w:sz w:val="28"/>
          <w:szCs w:val="28"/>
        </w:rPr>
        <w:t xml:space="preserve">23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HYPERLINK consultantplus://offline/ref=C0BB6A7D0C14CDB5B999CB3FAA6256F06D6EC7BF786ECC31166578C44A189B773ADFE35EA4157E84CDB1A801AA94A968494B4EAAE6856A968D802DX2f5N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1284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, от </w:t>
      </w:r>
      <w:r>
        <w:rPr>
          <w:sz w:val="28"/>
          <w:szCs w:val="28"/>
        </w:rPr>
        <w:t xml:space="preserve">23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.202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1499, </w:t>
      </w:r>
      <w:r>
        <w:rPr>
          <w:sz w:val="28"/>
          <w:szCs w:val="28"/>
        </w:rPr>
        <w:t xml:space="preserve">от 26.01.2024 №34, от 18.03.2024 №155, от 10.05.2024 №316,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30.10.2024 №942, от 11.06.2025 №422, от 30.12.2025 №1206)</w:t>
      </w:r>
      <w:r>
        <w:rPr>
          <w:sz w:val="28"/>
          <w:szCs w:val="28"/>
        </w:rPr>
        <w:t xml:space="preserve">, изменение, изложив пункт 4 в следующей редакции:</w:t>
      </w:r>
      <w:r>
        <w:rPr>
          <w:sz w:val="28"/>
          <w:szCs w:val="28"/>
        </w:rPr>
      </w:r>
      <w:r/>
    </w:p>
    <w:p>
      <w:pPr>
        <w:pBdr/>
        <w:tabs>
          <w:tab w:val="left" w:leader="none" w:pos="993"/>
        </w:tabs>
        <w:spacing w:line="360" w:lineRule="auto"/>
        <w:ind w:right="0" w:firstLine="709" w:left="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Число заместителей руководителя республиканского органа исполнительной власти определяется решением Кабинета Министров Республики Татарстан. В структуре центрального аппарата республиканского органа исполнительной власти не может быть более одного первог</w:t>
      </w:r>
      <w:r>
        <w:rPr>
          <w:sz w:val="28"/>
          <w:szCs w:val="28"/>
        </w:rPr>
        <w:t xml:space="preserve">о заместителя руководителя республиканского органа исполнительной власти, за исключением Министерства экономики Республики Татарстан</w:t>
      </w:r>
      <w:r>
        <w:rPr>
          <w:sz w:val="28"/>
          <w:szCs w:val="28"/>
          <w:lang w:val="ru-RU"/>
        </w:rPr>
        <w:t xml:space="preserve">, Министерства строительства, архитектуры и жилищно-коммунального хозяйства Республики Татарстан</w:t>
      </w:r>
      <w:r>
        <w:rPr>
          <w:sz w:val="28"/>
          <w:szCs w:val="28"/>
        </w:rPr>
        <w:t xml:space="preserve">, в структуре центрального аппарата котор</w:t>
      </w:r>
      <w:r>
        <w:rPr>
          <w:sz w:val="28"/>
          <w:szCs w:val="28"/>
          <w:lang w:val="ru-RU"/>
        </w:rPr>
        <w:t xml:space="preserve">ых</w:t>
      </w:r>
      <w:r>
        <w:rPr>
          <w:sz w:val="28"/>
          <w:szCs w:val="28"/>
        </w:rPr>
        <w:t xml:space="preserve"> не может быть более двух первых заместителей руководителя республиканского орган</w:t>
      </w:r>
      <w:r>
        <w:rPr>
          <w:sz w:val="28"/>
          <w:szCs w:val="28"/>
        </w:rPr>
        <w:t xml:space="preserve">а исполнительной власти.</w:t>
      </w:r>
      <w:r>
        <w:rPr>
          <w:sz w:val="28"/>
          <w:szCs w:val="28"/>
          <w:lang w:val="ru-RU"/>
        </w:rPr>
        <w:t xml:space="preserve">»</w:t>
      </w:r>
      <w:r>
        <w:rPr>
          <w:sz w:val="28"/>
          <w:szCs w:val="28"/>
          <w14:ligatures w14:val="none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Bdr/>
        <w:tabs>
          <w:tab w:val="left" w:leader="none" w:pos="993"/>
        </w:tabs>
        <w:spacing w:line="276" w:lineRule="auto"/>
        <w:ind w:firstLine="0" w:left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994"/>
        <w:pBdr/>
        <w:spacing/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4"/>
        <w:pBdr/>
        <w:spacing/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Премьер-министр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94"/>
        <w:pBdr/>
        <w:spacing/>
        <w:ind w:right="-1"/>
        <w:rPr>
          <w:sz w:val="28"/>
          <w:szCs w:val="28"/>
          <w:highlight w:val="none"/>
        </w:rPr>
        <w:sectPr>
          <w:headerReference w:type="default" r:id="rId9"/>
          <w:headerReference w:type="even" r:id="rId10"/>
          <w:headerReference w:type="first" r:id="rId11"/>
          <w:footerReference w:type="first" r:id="rId12"/>
          <w:footnotePr/>
          <w:endnotePr/>
          <w:type w:val="nextPage"/>
          <w:pgSz w:h="16838" w:orient="portrait" w:w="11906"/>
          <w:pgMar w:top="964" w:right="850" w:bottom="1134" w:left="1134" w:header="709" w:footer="709" w:gutter="0"/>
          <w:cols w:num="1" w:sep="0" w:space="708" w:equalWidth="1"/>
          <w:titlePg/>
        </w:sectPr>
      </w:pPr>
      <w:r>
        <w:rPr>
          <w:sz w:val="28"/>
          <w:szCs w:val="28"/>
        </w:rPr>
        <w:t xml:space="preserve">Республики Татарстан                                                                            А.В.Песошин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0A7E2F1B">
      <w:pPr>
        <w:pStyle w:val="1006"/>
        <w:pBdr/>
        <w:spacing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ПОЯСНИТЕЛЬНАЯ ЗАПИСКА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 w14:paraId="1E9F2B74">
      <w:pPr>
        <w:pStyle w:val="1006"/>
        <w:pBdr/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eastAsia="ru-RU"/>
        </w:rPr>
        <w:t xml:space="preserve"> к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eastAsia="ru-RU"/>
        </w:rPr>
        <w:t xml:space="preserve">проекту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eastAsia="ru-RU"/>
        </w:rPr>
        <w:t xml:space="preserve">постановлени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eastAsia="ru-RU"/>
        </w:rPr>
        <w:t xml:space="preserve">Кабинета Министров Республики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внесении изменения в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Стандарт структуры центрального аппарата республиканского органа исполнительной власти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, утвержденный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постановление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м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Кабинета Министров Республики Татарстан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от 26.06.2023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№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752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Об организации деятельности республиканских органов исполнительной власти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 w14:paraId="65EDF7E2">
      <w:pPr>
        <w:pStyle w:val="1006"/>
        <w:pBdr/>
        <w:spacing w:line="360" w:lineRule="auto"/>
        <w:ind w:firstLine="709"/>
        <w:jc w:val="center"/>
        <w:rPr>
          <w:rFonts w:eastAsia="Times New Roman"/>
          <w:b/>
          <w:color w:val="000000"/>
          <w:highlight w:val="none"/>
        </w:rPr>
      </w:pPr>
      <w:r>
        <w:rPr>
          <w:rFonts w:eastAsia="Times New Roman"/>
          <w:b/>
          <w:color w:val="000000"/>
          <w:highlight w:val="none"/>
          <w:lang w:eastAsia="ru-RU"/>
        </w:rPr>
      </w:r>
      <w:r>
        <w:rPr>
          <w:rFonts w:eastAsia="Times New Roman"/>
          <w:b/>
          <w:color w:val="000000"/>
          <w:highlight w:val="none"/>
        </w:rPr>
      </w:r>
      <w:r>
        <w:rPr>
          <w:rFonts w:eastAsia="Times New Roman"/>
          <w:b/>
          <w:color w:val="000000"/>
          <w:highlight w:val="none"/>
        </w:rPr>
      </w:r>
    </w:p>
    <w:p w14:paraId="41D49775">
      <w:pPr>
        <w:pStyle w:val="958"/>
        <w:pBdr/>
        <w:spacing w:after="0" w:line="276" w:lineRule="auto"/>
        <w:ind w:firstLine="709" w:left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Во исполнение </w:t>
      </w:r>
      <w:r>
        <w:rPr>
          <w:sz w:val="28"/>
          <w:szCs w:val="28"/>
        </w:rPr>
        <w:t xml:space="preserve">поручения Раиса Республики Татарстан от 13.03.20266 </w:t>
        <w:br/>
        <w:t xml:space="preserve">№11655-МР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о согласовании создания в структуре Министерства строительства, архитектур</w:t>
      </w:r>
      <w:r>
        <w:rPr>
          <w:sz w:val="28"/>
          <w:szCs w:val="28"/>
        </w:rPr>
        <w:t xml:space="preserve">ы и жилищно-коммунального</w:t>
      </w:r>
      <w:r>
        <w:rPr>
          <w:sz w:val="28"/>
          <w:szCs w:val="28"/>
        </w:rPr>
        <w:t xml:space="preserve"> хозяйства Республики Татарстан Департамента развития жилищно-коммунального хозяйства и введения второй должности первого заместителя министра, ГБУ «ЦЭС</w:t>
      </w:r>
      <w:r>
        <w:rPr>
          <w:sz w:val="28"/>
          <w:szCs w:val="28"/>
          <w:highlight w:val="none"/>
        </w:rPr>
        <w:t xml:space="preserve">И РТ» подготовлен проект постановления Кабинета Министров Республики Татарстан </w:t>
      </w:r>
      <w:r>
        <w:rPr>
          <w:sz w:val="28"/>
          <w:szCs w:val="28"/>
          <w:highlight w:val="none"/>
        </w:rPr>
        <w:t xml:space="preserve">«</w:t>
      </w:r>
      <w:r>
        <w:rPr>
          <w:sz w:val="28"/>
          <w:szCs w:val="28"/>
          <w:highlight w:val="none"/>
        </w:rPr>
        <w:t xml:space="preserve">О</w:t>
      </w:r>
      <w:r>
        <w:rPr>
          <w:sz w:val="28"/>
          <w:szCs w:val="28"/>
          <w:highlight w:val="none"/>
        </w:rPr>
        <w:t xml:space="preserve"> внесении изменения в </w:t>
      </w:r>
      <w:r>
        <w:rPr>
          <w:b w:val="0"/>
          <w:sz w:val="28"/>
          <w:szCs w:val="28"/>
          <w:highlight w:val="none"/>
        </w:rPr>
        <w:t xml:space="preserve">Стандарт структуры центрального аппарата республиканского органа исполнительной власти</w:t>
      </w:r>
      <w:r>
        <w:rPr>
          <w:b w:val="0"/>
          <w:sz w:val="28"/>
          <w:szCs w:val="28"/>
          <w:highlight w:val="none"/>
        </w:rPr>
        <w:t xml:space="preserve">, утвержденный </w:t>
      </w:r>
      <w:r>
        <w:rPr>
          <w:b w:val="0"/>
          <w:bCs w:val="0"/>
          <w:sz w:val="28"/>
          <w:szCs w:val="28"/>
          <w:highlight w:val="none"/>
        </w:rPr>
        <w:t xml:space="preserve">постановление</w:t>
      </w:r>
      <w:r>
        <w:rPr>
          <w:b w:val="0"/>
          <w:bCs w:val="0"/>
          <w:sz w:val="28"/>
          <w:szCs w:val="28"/>
          <w:highlight w:val="none"/>
        </w:rPr>
        <w:t xml:space="preserve">м</w:t>
      </w:r>
      <w:r>
        <w:rPr>
          <w:b w:val="0"/>
          <w:bCs w:val="0"/>
          <w:sz w:val="28"/>
          <w:szCs w:val="28"/>
          <w:highlight w:val="none"/>
        </w:rPr>
        <w:t xml:space="preserve"> Кабинета Министров Республики Татарстан </w:t>
      </w:r>
      <w:r>
        <w:rPr>
          <w:b w:val="0"/>
          <w:bCs w:val="0"/>
          <w:sz w:val="28"/>
          <w:szCs w:val="28"/>
          <w:highlight w:val="none"/>
        </w:rPr>
        <w:t xml:space="preserve">от 26.06.2023 </w:t>
      </w:r>
      <w:r>
        <w:rPr>
          <w:b w:val="0"/>
          <w:bCs w:val="0"/>
          <w:sz w:val="28"/>
          <w:szCs w:val="28"/>
          <w:highlight w:val="none"/>
        </w:rPr>
        <w:t xml:space="preserve">№</w:t>
      </w:r>
      <w:r>
        <w:rPr>
          <w:b w:val="0"/>
          <w:bCs w:val="0"/>
          <w:sz w:val="28"/>
          <w:szCs w:val="28"/>
          <w:highlight w:val="none"/>
        </w:rPr>
        <w:t xml:space="preserve">752 </w:t>
      </w:r>
      <w:r>
        <w:rPr>
          <w:b w:val="0"/>
          <w:bCs w:val="0"/>
          <w:sz w:val="28"/>
          <w:szCs w:val="28"/>
          <w:highlight w:val="none"/>
        </w:rPr>
        <w:t xml:space="preserve">«</w:t>
      </w:r>
      <w:r>
        <w:rPr>
          <w:b w:val="0"/>
          <w:bCs w:val="0"/>
          <w:sz w:val="28"/>
          <w:szCs w:val="28"/>
          <w:highlight w:val="none"/>
        </w:rPr>
        <w:t xml:space="preserve">Об организации деятельности республиканских органов исполнительной власти</w:t>
      </w:r>
      <w:r>
        <w:rPr>
          <w:b w:val="0"/>
          <w:bCs w:val="0"/>
          <w:sz w:val="28"/>
          <w:szCs w:val="28"/>
          <w:highlight w:val="none"/>
        </w:rPr>
        <w:t xml:space="preserve">»</w:t>
      </w:r>
      <w:r>
        <w:rPr>
          <w:sz w:val="28"/>
          <w:szCs w:val="28"/>
          <w:highlight w:val="none"/>
        </w:rPr>
        <w:t xml:space="preserve"> (далее – проект ПКМ).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2503C902">
      <w:pPr>
        <w:pStyle w:val="958"/>
        <w:pBdr/>
        <w:spacing w:after="0" w:line="276" w:lineRule="auto"/>
        <w:ind w:firstLine="709" w:left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Проектом ПКМ вносятся изменения в пункт 4 </w:t>
      </w:r>
      <w:r>
        <w:rPr>
          <w:b w:val="0"/>
          <w:sz w:val="28"/>
          <w:szCs w:val="28"/>
          <w:highlight w:val="none"/>
        </w:rPr>
        <w:t xml:space="preserve">С</w:t>
      </w:r>
      <w:r>
        <w:rPr>
          <w:b w:val="0"/>
          <w:sz w:val="28"/>
          <w:szCs w:val="28"/>
          <w:highlight w:val="none"/>
        </w:rPr>
        <w:t xml:space="preserve">та</w:t>
      </w:r>
      <w:r>
        <w:rPr>
          <w:b w:val="0"/>
          <w:sz w:val="28"/>
          <w:szCs w:val="28"/>
          <w:highlight w:val="none"/>
        </w:rPr>
        <w:t xml:space="preserve">ндарт стр</w:t>
      </w:r>
      <w:r>
        <w:rPr>
          <w:b w:val="0"/>
          <w:sz w:val="28"/>
          <w:szCs w:val="28"/>
          <w:highlight w:val="none"/>
        </w:rPr>
        <w:t xml:space="preserve">уктуры центрального аппарата республиканского органа исполнительной власти Республики Татарстан</w:t>
      </w:r>
      <w:r>
        <w:rPr>
          <w:sz w:val="28"/>
          <w:szCs w:val="28"/>
          <w:highlight w:val="none"/>
        </w:rPr>
      </w:r>
      <w:bookmarkStart w:id="0" w:name="_GoBack"/>
      <w:r>
        <w:rPr>
          <w:sz w:val="28"/>
          <w:szCs w:val="28"/>
          <w:highlight w:val="none"/>
        </w:rPr>
      </w:r>
      <w:bookmarkEnd w:id="0"/>
      <w:r>
        <w:rPr>
          <w:sz w:val="28"/>
          <w:szCs w:val="28"/>
          <w:highlight w:val="none"/>
        </w:rPr>
        <w:t xml:space="preserve">, устанавливающего ограничение по количеству первых заместителей в структуре центрального аппарата.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3ACD5DBC">
      <w:pPr>
        <w:pStyle w:val="958"/>
        <w:pBdr/>
        <w:spacing w:after="0" w:line="276" w:lineRule="auto"/>
        <w:ind w:firstLine="709" w:left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Для </w:t>
      </w:r>
      <w:r>
        <w:rPr>
          <w:sz w:val="28"/>
          <w:szCs w:val="28"/>
        </w:rPr>
        <w:t xml:space="preserve">Министерства строительства, архитектур</w:t>
      </w:r>
      <w:r>
        <w:rPr>
          <w:sz w:val="28"/>
          <w:szCs w:val="28"/>
        </w:rPr>
        <w:t xml:space="preserve">ы и жилищно-коммунального</w:t>
      </w:r>
      <w:r>
        <w:rPr>
          <w:sz w:val="28"/>
          <w:szCs w:val="28"/>
        </w:rPr>
        <w:t xml:space="preserve"> хозяйства Республики Татарстан </w:t>
      </w:r>
      <w:r>
        <w:rPr>
          <w:sz w:val="28"/>
          <w:szCs w:val="28"/>
          <w:highlight w:val="none"/>
        </w:rPr>
        <w:t xml:space="preserve">вводится ограничение о недопустимости включени</w:t>
      </w:r>
      <w:r>
        <w:rPr>
          <w:sz w:val="28"/>
          <w:szCs w:val="28"/>
          <w:highlight w:val="none"/>
        </w:rPr>
        <w:t xml:space="preserve">я в структуру боле</w:t>
      </w:r>
      <w:r>
        <w:rPr>
          <w:b w:val="0"/>
          <w:bCs w:val="0"/>
          <w:sz w:val="28"/>
          <w:szCs w:val="28"/>
          <w:highlight w:val="none"/>
        </w:rPr>
        <w:t xml:space="preserve">е </w:t>
      </w:r>
      <w:r>
        <w:rPr>
          <w:b w:val="0"/>
          <w:bCs w:val="0"/>
          <w:sz w:val="28"/>
          <w:szCs w:val="28"/>
          <w:highlight w:val="none"/>
        </w:rPr>
        <w:t xml:space="preserve">двух </w:t>
      </w:r>
      <w:r>
        <w:rPr>
          <w:sz w:val="28"/>
          <w:szCs w:val="28"/>
          <w:highlight w:val="none"/>
        </w:rPr>
        <w:t xml:space="preserve">первых заместителей министра.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1436A717">
      <w:pPr>
        <w:pBdr/>
        <w:spacing w:after="0" w:line="276" w:lineRule="auto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Принятие данного проекта постановления не потребует внесения изменений в другие нормативн</w:t>
      </w:r>
      <w:r>
        <w:rPr>
          <w:sz w:val="28"/>
          <w:szCs w:val="28"/>
        </w:rPr>
        <w:t xml:space="preserve">ые п</w:t>
      </w:r>
      <w:r>
        <w:rPr>
          <w:sz w:val="28"/>
          <w:szCs w:val="28"/>
        </w:rPr>
        <w:t xml:space="preserve">равовые акты.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313A403F">
      <w:pPr>
        <w:pBdr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Отсутствует</w:t>
      </w:r>
      <w:r>
        <w:rPr>
          <w:sz w:val="28"/>
          <w:szCs w:val="28"/>
        </w:rPr>
        <w:t xml:space="preserve"> необходимость в проведении оценки регулир</w:t>
      </w:r>
      <w:r>
        <w:rPr>
          <w:sz w:val="28"/>
          <w:szCs w:val="28"/>
        </w:rPr>
        <w:t xml:space="preserve">ующего воздействия проекта постановления Кабинета Министров Республики Татарстан.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D508C90">
      <w:pPr>
        <w:pBdr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</w:t>
      </w:r>
      <w:r>
        <w:rPr>
          <w:sz w:val="28"/>
          <w:szCs w:val="28"/>
        </w:rPr>
        <w:t xml:space="preserve">пало.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914CF8A">
      <w:pPr>
        <w:pStyle w:val="958"/>
        <w:pBdr/>
        <w:spacing w:after="0" w:line="276" w:lineRule="auto"/>
        <w:ind w:firstLine="709" w:left="0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1DF820FE">
      <w:pPr>
        <w:pStyle w:val="994"/>
        <w:pBdr/>
        <w:spacing/>
        <w:ind w:right="-1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 w14:paraId="49653E4D">
      <w:pPr>
        <w:pBdr/>
        <w:spacing/>
        <w:ind/>
        <w:rPr/>
      </w:pPr>
      <w:r/>
      <w:r/>
    </w:p>
    <w:sectPr>
      <w:footnotePr/>
      <w:endnotePr>
        <w:numFmt w:val="decimal"/>
      </w:endnotePr>
      <w:type w:val="nextPage"/>
      <w:pgSz w:h="16838" w:orient="portrait" w:w="11906"/>
      <w:pgMar w:top="964" w:right="850" w:bottom="1134" w:left="1134" w:header="708" w:footer="708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7E58843">
    <w:pPr>
      <w:pStyle w:val="971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062FC6B">
    <w:pPr>
      <w:pStyle w:val="969"/>
      <w:pBdr/>
      <w:spacing/>
      <w:ind/>
      <w:jc w:val="center"/>
      <w:rPr/>
    </w:pPr>
    <w:fldSimple w:instr="PAGE \* MERGEFORMAT">
      <w:r>
        <w:t xml:space="preserve">1</w:t>
      </w:r>
    </w:fldSimple>
    <w:r/>
    <w:r/>
  </w:p>
  <w:p w14:paraId="195DAE33">
    <w:pPr>
      <w:pStyle w:val="969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5"/>
      <w:framePr w:hAnchor="margin" w:vAnchor="text" w:wrap="around" w:xAlign="center" w:y="1"/>
      <w:pBdr/>
      <w:spacing/>
      <w:ind/>
      <w:rPr>
        <w:rStyle w:val="1027"/>
      </w:rPr>
    </w:pPr>
    <w:r>
      <w:rPr>
        <w:rStyle w:val="1027"/>
      </w:rPr>
      <w:fldChar w:fldCharType="begin"/>
    </w:r>
    <w:r>
      <w:rPr>
        <w:rStyle w:val="1027"/>
      </w:rPr>
      <w:instrText xml:space="preserve">PAGE  </w:instrText>
    </w:r>
    <w:r>
      <w:rPr>
        <w:rStyle w:val="1027"/>
      </w:rPr>
      <w:fldChar w:fldCharType="separate"/>
    </w:r>
    <w:r>
      <w:rPr>
        <w:rStyle w:val="1027"/>
      </w:rPr>
      <w:t xml:space="preserve">2</w:t>
    </w:r>
    <w:r>
      <w:rPr>
        <w:rStyle w:val="1027"/>
      </w:rPr>
      <w:fldChar w:fldCharType="end"/>
    </w:r>
    <w:r>
      <w:rPr>
        <w:rStyle w:val="1027"/>
      </w:rPr>
    </w:r>
    <w:r>
      <w:rPr>
        <w:rStyle w:val="1027"/>
      </w:rPr>
    </w:r>
  </w:p>
  <w:p>
    <w:pPr>
      <w:pStyle w:val="102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E068639">
    <w:pPr>
      <w:pStyle w:val="969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C27F9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abstractNum w:abstractNumId="1">
    <w:nsid w:val="101F3198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">
    <w:nsid w:val="16446D1C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3">
    <w:nsid w:val="16DB7EAB"/>
    <w:lvl w:ilvl="0">
      <w:isLgl w:val="false"/>
      <w:lvlJc w:val="left"/>
      <w:lvlText w:val="%1)"/>
      <w:numFmt w:val="decimal"/>
      <w:pPr>
        <w:pBdr/>
        <w:spacing/>
        <w:ind w:hanging="360" w:left="142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4">
    <w:nsid w:val="1773578E"/>
    <w:lvl w:ilvl="0">
      <w:isLgl w:val="false"/>
      <w:lvlJc w:val="left"/>
      <w:lvlText w:val="%1."/>
      <w:numFmt w:val="upperRoman"/>
      <w:pPr>
        <w:pBdr/>
        <w:spacing/>
        <w:ind w:hanging="720" w:left="12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50" w:left="1012"/>
      </w:pPr>
      <w:rPr/>
      <w:start w:val="2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30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1326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7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173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2112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213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2516"/>
      </w:pPr>
      <w:rPr/>
      <w:start w:val="1"/>
      <w:suff w:val="tab"/>
    </w:lvl>
  </w:abstractNum>
  <w:abstractNum w:abstractNumId="5">
    <w:nsid w:val="265C623E"/>
    <w:lvl w:ilvl="0">
      <w:isLgl w:val="false"/>
      <w:lvlJc w:val="left"/>
      <w:lvlText w:val="%1."/>
      <w:numFmt w:val="decimal"/>
      <w:pPr>
        <w:pBdr/>
        <w:spacing/>
        <w:ind w:hanging="990" w:left="169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6">
    <w:nsid w:val="27CE4D71"/>
    <w:lvl w:ilvl="0">
      <w:isLgl w:val="false"/>
      <w:lvlJc w:val="left"/>
      <w:lvlText w:val="%1."/>
      <w:numFmt w:val="decimal"/>
      <w:pPr>
        <w:pBdr/>
        <w:spacing/>
        <w:ind w:hanging="360" w:left="90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7">
    <w:nsid w:val="2A372820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8">
    <w:nsid w:val="2CE92070"/>
    <w:lvl w:ilvl="0">
      <w:isLgl w:val="false"/>
      <w:legacy w:legacy="true" w:legacyIndent="0" w:legacySpace="0"/>
      <w:lvlJc w:val="left"/>
      <w:lvlText w:val="1.%1."/>
      <w:numFmt w:val="decimal"/>
      <w:pPr>
        <w:pBdr/>
        <w:spacing/>
        <w:ind/>
      </w:pPr>
      <w:rPr>
        <w:rFonts w:ascii="Times New Roman" w:hAnsi="Times New Roman" w:cs="Times New Roman"/>
      </w:rPr>
      <w:start w:val="3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9">
    <w:nsid w:val="31635E87"/>
    <w:lvl w:ilvl="0">
      <w:isLgl w:val="false"/>
      <w:lvlJc w:val="left"/>
      <w:lvlText w:val="%1."/>
      <w:numFmt w:val="decimal"/>
      <w:pPr>
        <w:pBdr/>
        <w:spacing/>
        <w:ind w:hanging="360" w:left="90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10">
    <w:nsid w:val="32D01461"/>
    <w:lvl w:ilvl="0">
      <w:isLgl w:val="false"/>
      <w:lvlJc w:val="left"/>
      <w:lvlText w:val="%1."/>
      <w:numFmt w:val="decimal"/>
      <w:pPr>
        <w:pBdr/>
        <w:tabs>
          <w:tab w:val="num" w:leader="none" w:pos="990"/>
        </w:tabs>
        <w:spacing/>
        <w:ind w:hanging="990" w:left="990"/>
      </w:pPr>
      <w:rPr>
        <w:rFonts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080"/>
        </w:tabs>
        <w:spacing/>
        <w:ind w:hanging="360" w:left="108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1800"/>
        </w:tabs>
        <w:spacing/>
        <w:ind w:hanging="180" w:left="180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520"/>
        </w:tabs>
        <w:spacing/>
        <w:ind w:hanging="360" w:left="252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240"/>
        </w:tabs>
        <w:spacing/>
        <w:ind w:hanging="360" w:left="324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3960"/>
        </w:tabs>
        <w:spacing/>
        <w:ind w:hanging="180" w:left="396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4680"/>
        </w:tabs>
        <w:spacing/>
        <w:ind w:hanging="360" w:left="468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400"/>
        </w:tabs>
        <w:spacing/>
        <w:ind w:hanging="360" w:left="540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120"/>
        </w:tabs>
        <w:spacing/>
        <w:ind w:hanging="180" w:left="6120"/>
      </w:pPr>
      <w:rPr>
        <w:rFonts w:cs="Times New Roman"/>
      </w:rPr>
      <w:start w:val="1"/>
      <w:suff w:val="tab"/>
    </w:lvl>
  </w:abstractNum>
  <w:abstractNum w:abstractNumId="11">
    <w:nsid w:val="3C5F517F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abstractNum w:abstractNumId="12">
    <w:nsid w:val="3CBA5F8A"/>
    <w:lvl w:ilvl="0">
      <w:isLgl w:val="false"/>
      <w:lvlJc w:val="left"/>
      <w:lvlText w:val="%1)"/>
      <w:numFmt w:val="decimal"/>
      <w:pPr>
        <w:pBdr/>
        <w:spacing/>
        <w:ind w:hanging="360" w:left="12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20"/>
      </w:pPr>
      <w:rPr/>
      <w:start w:val="1"/>
      <w:suff w:val="tab"/>
    </w:lvl>
  </w:abstractNum>
  <w:abstractNum w:abstractNumId="13">
    <w:nsid w:val="3E783CF2"/>
    <w:lvl w:ilvl="0">
      <w:isLgl w:val="false"/>
      <w:lvlJc w:val="left"/>
      <w:lvlText w:val="%1)"/>
      <w:numFmt w:val="decimal"/>
      <w:pPr>
        <w:pBdr/>
        <w:spacing/>
        <w:ind w:hanging="360" w:left="90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14">
    <w:nsid w:val="3F1433A0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sz w:val="28"/>
        <w:szCs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nsid w:val="481632F4"/>
    <w:lvl w:ilvl="0">
      <w:isLgl w:val="false"/>
      <w:lvlJc w:val="left"/>
      <w:lvlText w:val="%1."/>
      <w:numFmt w:val="decimal"/>
      <w:pPr>
        <w:pBdr/>
        <w:spacing/>
        <w:ind w:hanging="810" w:left="1170"/>
      </w:pPr>
      <w:rPr>
        <w:rFonts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abstractNum w:abstractNumId="16">
    <w:nsid w:val="4BA428D8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7">
    <w:nsid w:val="4D921259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sz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8">
    <w:nsid w:val="4EA5611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abstractNum w:abstractNumId="19">
    <w:nsid w:val="60CB04B7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cs="Times New Roman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720"/>
      </w:pPr>
      <w:rPr>
        <w:rFonts w:cs="Times New Roman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900"/>
      </w:pPr>
      <w:rPr>
        <w:rFonts w:cs="Times New Roman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1440"/>
      </w:pPr>
      <w:rPr>
        <w:rFonts w:cs="Times New Roman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620"/>
      </w:pPr>
      <w:rPr>
        <w:rFonts w:cs="Times New Roman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2160"/>
      </w:pPr>
      <w:rPr>
        <w:rFonts w:cs="Times New Roman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2700"/>
      </w:pPr>
      <w:rPr>
        <w:rFonts w:cs="Times New Roman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2880"/>
      </w:pPr>
      <w:rPr>
        <w:rFonts w:cs="Times New Roman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3420"/>
      </w:pPr>
      <w:rPr>
        <w:rFonts w:cs="Times New Roman"/>
      </w:rPr>
      <w:start w:val="1"/>
      <w:suff w:val="tab"/>
    </w:lvl>
  </w:abstractNum>
  <w:abstractNum w:abstractNumId="20">
    <w:nsid w:val="66A0668D"/>
    <w:lvl w:ilvl="0">
      <w:isLgl w:val="false"/>
      <w:legacy w:legacy="true" w:legacyIndent="0" w:legacySpace="0"/>
      <w:lvlJc w:val="left"/>
      <w:lvlText w:val="1.%1."/>
      <w:numFmt w:val="decimal"/>
      <w:pPr>
        <w:pBdr/>
        <w:spacing/>
        <w:ind/>
      </w:pPr>
      <w:rPr>
        <w:rFonts w:ascii="Times New Roman" w:hAnsi="Times New Roman" w:cs="Times New Roman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1">
    <w:nsid w:val="67F44B0C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2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2">
    <w:nsid w:val="7E6F3A6A"/>
    <w:lvl w:ilvl="0">
      <w:isLgl w:val="false"/>
      <w:lvlJc w:val="left"/>
      <w:lvlText w:val=""/>
      <w:numFmt w:val="bullet"/>
      <w:pPr>
        <w:pBdr/>
        <w:spacing/>
        <w:ind w:hanging="360" w:left="1429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ascii="Wingdings" w:hAnsi="Wingdings"/>
      </w:rPr>
      <w:start w:val="1"/>
      <w:suff w:val="tab"/>
    </w:lvl>
  </w:abstractNum>
  <w:abstractNum w:abstractNumId="23">
    <w:nsid w:val="101F3198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15"/>
  </w:num>
  <w:num w:numId="2">
    <w:abstractNumId w:val="0"/>
  </w:num>
  <w:num w:numId="3">
    <w:abstractNumId w:val="19"/>
  </w:num>
  <w:num w:numId="4">
    <w:abstractNumId w:val="18"/>
  </w:num>
  <w:num w:numId="5">
    <w:abstractNumId w:val="11"/>
  </w:num>
  <w:num w:numId="6">
    <w:abstractNumId w:val="10"/>
  </w:num>
  <w:num w:numId="7">
    <w:abstractNumId w:val="22"/>
  </w:num>
  <w:num w:numId="8">
    <w:abstractNumId w:val="3"/>
  </w:num>
  <w:num w:numId="9">
    <w:abstractNumId w:val="4"/>
  </w:num>
  <w:num w:numId="10">
    <w:abstractNumId w:val="20"/>
  </w:num>
  <w:num w:numId="11">
    <w:abstractNumId w:val="8"/>
  </w:num>
  <w:num w:numId="12">
    <w:abstractNumId w:val="17"/>
  </w:num>
  <w:num w:numId="13">
    <w:abstractNumId w:val="7"/>
  </w:num>
  <w:num w:numId="14">
    <w:abstractNumId w:val="13"/>
  </w:num>
  <w:num w:numId="15">
    <w:abstractNumId w:val="12"/>
  </w:num>
  <w:num w:numId="16">
    <w:abstractNumId w:val="5"/>
  </w:num>
  <w:num w:numId="17">
    <w:abstractNumId w:val="9"/>
  </w:num>
  <w:num w:numId="18">
    <w:abstractNumId w:val="6"/>
  </w:num>
  <w:num w:numId="19">
    <w:abstractNumId w:val="14"/>
  </w:num>
  <w:num w:numId="20">
    <w:abstractNumId w:val="1"/>
  </w:num>
  <w:num w:numId="21">
    <w:abstractNumId w:val="21"/>
  </w:num>
  <w:num w:numId="22">
    <w:abstractNumId w:val="2"/>
  </w:num>
  <w:num w:numId="23">
    <w:abstractNumId w:val="16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808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0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Table Grid"/>
    <w:basedOn w:val="80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Table Grid Light"/>
    <w:basedOn w:val="80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Plain Table 1"/>
    <w:basedOn w:val="80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Plain Table 2"/>
    <w:basedOn w:val="80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Plain Table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Plain Table 4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Plain Table 5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1 Light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1 Light - Accent 1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1 Light - Accent 2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1 Light - Accent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1 Light - Accent 4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1 Light - Accent 5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1 Light - Accent 6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2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2 - Accent 1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2 - Accent 2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2 - Accent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2 - Accent 4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2 - Accent 5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2 - Accent 6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3 - Accent 1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3 - Accent 2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3 - Accent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3 - Accent 4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3 - Accent 5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3 - Accent 6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4"/>
    <w:basedOn w:val="8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4 - Accent 1"/>
    <w:basedOn w:val="8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4 - Accent 2"/>
    <w:basedOn w:val="8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4 - Accent 3"/>
    <w:basedOn w:val="8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4 - Accent 4"/>
    <w:basedOn w:val="8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4 - Accent 5"/>
    <w:basedOn w:val="8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4 - Accent 6"/>
    <w:basedOn w:val="8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5 Dark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5 Dark- Accent 1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5 Dark - Accent 2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5 Dark - Accent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5 Dark- Accent 4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5 Dark - Accent 5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5 Dark - Accent 6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6 Colorful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6 Colorful - Accent 1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6 Colorful - Accent 2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6 Colorful - Accent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6 Colorful - Accent 4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6 Colorful - Accent 5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6 Colorful - Accent 6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7 Colorful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7 Colorful - Accent 1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7 Colorful - Accent 2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7 Colorful - Accent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7 Colorful - Accent 4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7 Colorful - Accent 5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7 Colorful - Accent 6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1 Light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1 Light - Accent 1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1 Light - Accent 2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1 Light - Accent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1 Light - Accent 4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1 Light - Accent 5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1 Light - Accent 6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2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2 - Accent 1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2 - Accent 2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2 - Accent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2 - Accent 4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2 - Accent 5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2 - Accent 6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3 - Accent 1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3 - Accent 2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3 - Accent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3 - Accent 4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3 - Accent 5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3 - Accent 6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4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4 - Accent 1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4 - Accent 2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4 - Accent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4 - Accent 4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4 - Accent 5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4 - Accent 6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5 Dark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5 Dark - Accent 1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5 Dark - Accent 2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5 Dark - Accent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5 Dark - Accent 4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5 Dark - Accent 5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5 Dark - Accent 6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6 Colorful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6 Colorful - Accent 1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6 Colorful - Accent 2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6 Colorful - Accent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6 Colorful - Accent 4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6 Colorful - Accent 5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6 Colorful - Accent 6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7 Colorful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7 Colorful - Accent 1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7 Colorful - Accent 2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7 Colorful - Accent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7 Colorful - Accent 4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7 Colorful - Accent 5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7 Colorful - Accent 6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ned - Accent"/>
    <w:basedOn w:val="8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ned - Accent 1"/>
    <w:basedOn w:val="8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ned - Accent 2"/>
    <w:basedOn w:val="8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ned - Accent 3"/>
    <w:basedOn w:val="8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ned - Accent 4"/>
    <w:basedOn w:val="8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ned - Accent 5"/>
    <w:basedOn w:val="8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ned - Accent 6"/>
    <w:basedOn w:val="8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&amp; Lined - Accent"/>
    <w:basedOn w:val="8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&amp; Lined - Accent 1"/>
    <w:basedOn w:val="8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Bordered &amp; Lined - Accent 2"/>
    <w:basedOn w:val="8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Bordered &amp; Lined - Accent 3"/>
    <w:basedOn w:val="8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Bordered &amp; Lined - Accent 4"/>
    <w:basedOn w:val="8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Bordered &amp; Lined - Accent 5"/>
    <w:basedOn w:val="8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Bordered &amp; Lined - Accent 6"/>
    <w:basedOn w:val="8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Bordered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Bordered - Accent 1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Bordered - Accent 2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Bordered - Accent 3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Bordered - Accent 4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Bordered - Accent 5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Bordered - Accent 6"/>
    <w:basedOn w:val="8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32">
    <w:name w:val="Heading 1"/>
    <w:basedOn w:val="994"/>
    <w:next w:val="994"/>
    <w:link w:val="94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33">
    <w:name w:val="Heading 2"/>
    <w:basedOn w:val="994"/>
    <w:next w:val="994"/>
    <w:link w:val="94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34">
    <w:name w:val="Heading 3"/>
    <w:basedOn w:val="994"/>
    <w:next w:val="994"/>
    <w:link w:val="94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35">
    <w:name w:val="Heading 4"/>
    <w:basedOn w:val="994"/>
    <w:next w:val="994"/>
    <w:link w:val="94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36">
    <w:name w:val="Heading 5"/>
    <w:basedOn w:val="994"/>
    <w:next w:val="994"/>
    <w:link w:val="94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37">
    <w:name w:val="Heading 6"/>
    <w:basedOn w:val="994"/>
    <w:next w:val="994"/>
    <w:link w:val="94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38">
    <w:name w:val="Heading 7"/>
    <w:basedOn w:val="994"/>
    <w:next w:val="994"/>
    <w:link w:val="94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39">
    <w:name w:val="Heading 8"/>
    <w:basedOn w:val="994"/>
    <w:next w:val="994"/>
    <w:link w:val="95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40">
    <w:name w:val="Heading 9"/>
    <w:basedOn w:val="994"/>
    <w:next w:val="994"/>
    <w:link w:val="95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41" w:default="1">
    <w:name w:val="Default Paragraph Font"/>
    <w:uiPriority w:val="1"/>
    <w:semiHidden/>
    <w:unhideWhenUsed/>
    <w:pPr>
      <w:pBdr/>
      <w:spacing/>
      <w:ind/>
    </w:pPr>
  </w:style>
  <w:style w:type="numbering" w:styleId="942" w:default="1">
    <w:name w:val="No List"/>
    <w:uiPriority w:val="99"/>
    <w:semiHidden/>
    <w:unhideWhenUsed/>
    <w:pPr>
      <w:pBdr/>
      <w:spacing/>
      <w:ind/>
    </w:pPr>
  </w:style>
  <w:style w:type="character" w:styleId="943">
    <w:name w:val="Heading 1 Char"/>
    <w:basedOn w:val="941"/>
    <w:link w:val="9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44">
    <w:name w:val="Heading 2 Char"/>
    <w:basedOn w:val="941"/>
    <w:link w:val="9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45">
    <w:name w:val="Heading 3 Char"/>
    <w:basedOn w:val="941"/>
    <w:link w:val="9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46">
    <w:name w:val="Heading 4 Char"/>
    <w:basedOn w:val="941"/>
    <w:link w:val="93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47">
    <w:name w:val="Heading 5 Char"/>
    <w:basedOn w:val="941"/>
    <w:link w:val="93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48">
    <w:name w:val="Heading 6 Char"/>
    <w:basedOn w:val="941"/>
    <w:link w:val="93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49">
    <w:name w:val="Heading 7 Char"/>
    <w:basedOn w:val="941"/>
    <w:link w:val="93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50">
    <w:name w:val="Heading 8 Char"/>
    <w:basedOn w:val="941"/>
    <w:link w:val="93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51">
    <w:name w:val="Heading 9 Char"/>
    <w:basedOn w:val="941"/>
    <w:link w:val="9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52">
    <w:name w:val="Title"/>
    <w:basedOn w:val="994"/>
    <w:next w:val="994"/>
    <w:link w:val="95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53">
    <w:name w:val="Title Char"/>
    <w:basedOn w:val="941"/>
    <w:link w:val="95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54">
    <w:name w:val="Subtitle"/>
    <w:basedOn w:val="994"/>
    <w:next w:val="994"/>
    <w:link w:val="95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55">
    <w:name w:val="Subtitle Char"/>
    <w:basedOn w:val="941"/>
    <w:link w:val="95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56">
    <w:name w:val="Quote"/>
    <w:basedOn w:val="994"/>
    <w:next w:val="994"/>
    <w:link w:val="95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57">
    <w:name w:val="Quote Char"/>
    <w:basedOn w:val="941"/>
    <w:link w:val="956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58">
    <w:name w:val="List Paragraph"/>
    <w:basedOn w:val="994"/>
    <w:uiPriority w:val="34"/>
    <w:qFormat/>
    <w:pPr>
      <w:pBdr/>
      <w:spacing/>
      <w:ind w:left="720"/>
      <w:contextualSpacing w:val="true"/>
    </w:pPr>
  </w:style>
  <w:style w:type="character" w:styleId="959">
    <w:name w:val="Intense Emphasis"/>
    <w:basedOn w:val="94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60">
    <w:name w:val="Intense Quote"/>
    <w:basedOn w:val="994"/>
    <w:next w:val="994"/>
    <w:link w:val="96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61">
    <w:name w:val="Intense Quote Char"/>
    <w:basedOn w:val="941"/>
    <w:link w:val="96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62">
    <w:name w:val="Intense Reference"/>
    <w:basedOn w:val="94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63">
    <w:name w:val="No Spacing"/>
    <w:basedOn w:val="994"/>
    <w:uiPriority w:val="1"/>
    <w:qFormat/>
    <w:pPr>
      <w:pBdr/>
      <w:spacing w:after="0" w:line="240" w:lineRule="auto"/>
      <w:ind/>
    </w:pPr>
  </w:style>
  <w:style w:type="character" w:styleId="964">
    <w:name w:val="Subtle Emphasis"/>
    <w:basedOn w:val="94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65">
    <w:name w:val="Emphasis"/>
    <w:basedOn w:val="941"/>
    <w:uiPriority w:val="20"/>
    <w:qFormat/>
    <w:pPr>
      <w:pBdr/>
      <w:spacing/>
      <w:ind/>
    </w:pPr>
    <w:rPr>
      <w:i/>
      <w:iCs/>
    </w:rPr>
  </w:style>
  <w:style w:type="character" w:styleId="966">
    <w:name w:val="Strong"/>
    <w:basedOn w:val="941"/>
    <w:uiPriority w:val="22"/>
    <w:qFormat/>
    <w:pPr>
      <w:pBdr/>
      <w:spacing/>
      <w:ind/>
    </w:pPr>
    <w:rPr>
      <w:b/>
      <w:bCs/>
    </w:rPr>
  </w:style>
  <w:style w:type="character" w:styleId="967">
    <w:name w:val="Subtle Reference"/>
    <w:basedOn w:val="94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68">
    <w:name w:val="Book Title"/>
    <w:basedOn w:val="94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69">
    <w:name w:val="Header"/>
    <w:basedOn w:val="994"/>
    <w:link w:val="9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70">
    <w:name w:val="Header Char"/>
    <w:basedOn w:val="941"/>
    <w:link w:val="969"/>
    <w:uiPriority w:val="99"/>
    <w:pPr>
      <w:pBdr/>
      <w:spacing/>
      <w:ind/>
    </w:pPr>
  </w:style>
  <w:style w:type="paragraph" w:styleId="971">
    <w:name w:val="Footer"/>
    <w:basedOn w:val="994"/>
    <w:link w:val="97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72">
    <w:name w:val="Footer Char"/>
    <w:basedOn w:val="941"/>
    <w:link w:val="971"/>
    <w:uiPriority w:val="99"/>
    <w:pPr>
      <w:pBdr/>
      <w:spacing/>
      <w:ind/>
    </w:pPr>
  </w:style>
  <w:style w:type="paragraph" w:styleId="973">
    <w:name w:val="Caption"/>
    <w:basedOn w:val="994"/>
    <w:next w:val="99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74">
    <w:name w:val="footnote text"/>
    <w:basedOn w:val="994"/>
    <w:link w:val="97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5">
    <w:name w:val="Footnote Text Char"/>
    <w:basedOn w:val="941"/>
    <w:link w:val="974"/>
    <w:uiPriority w:val="99"/>
    <w:semiHidden/>
    <w:pPr>
      <w:pBdr/>
      <w:spacing/>
      <w:ind/>
    </w:pPr>
    <w:rPr>
      <w:sz w:val="20"/>
      <w:szCs w:val="20"/>
    </w:rPr>
  </w:style>
  <w:style w:type="character" w:styleId="976">
    <w:name w:val="footnote reference"/>
    <w:basedOn w:val="941"/>
    <w:uiPriority w:val="99"/>
    <w:semiHidden/>
    <w:unhideWhenUsed/>
    <w:pPr>
      <w:pBdr/>
      <w:spacing/>
      <w:ind/>
    </w:pPr>
    <w:rPr>
      <w:vertAlign w:val="superscript"/>
    </w:rPr>
  </w:style>
  <w:style w:type="paragraph" w:styleId="977">
    <w:name w:val="endnote text"/>
    <w:basedOn w:val="994"/>
    <w:link w:val="97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8">
    <w:name w:val="Endnote Text Char"/>
    <w:basedOn w:val="941"/>
    <w:link w:val="977"/>
    <w:uiPriority w:val="99"/>
    <w:semiHidden/>
    <w:pPr>
      <w:pBdr/>
      <w:spacing/>
      <w:ind/>
    </w:pPr>
    <w:rPr>
      <w:sz w:val="20"/>
      <w:szCs w:val="20"/>
    </w:rPr>
  </w:style>
  <w:style w:type="character" w:styleId="979">
    <w:name w:val="endnote reference"/>
    <w:basedOn w:val="941"/>
    <w:uiPriority w:val="99"/>
    <w:semiHidden/>
    <w:unhideWhenUsed/>
    <w:pPr>
      <w:pBdr/>
      <w:spacing/>
      <w:ind/>
    </w:pPr>
    <w:rPr>
      <w:vertAlign w:val="superscript"/>
    </w:rPr>
  </w:style>
  <w:style w:type="character" w:styleId="980">
    <w:name w:val="Hyperlink"/>
    <w:basedOn w:val="94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81">
    <w:name w:val="FollowedHyperlink"/>
    <w:basedOn w:val="94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82">
    <w:name w:val="toc 1"/>
    <w:basedOn w:val="994"/>
    <w:next w:val="994"/>
    <w:uiPriority w:val="39"/>
    <w:unhideWhenUsed/>
    <w:pPr>
      <w:pBdr/>
      <w:spacing w:after="100"/>
      <w:ind/>
    </w:pPr>
  </w:style>
  <w:style w:type="paragraph" w:styleId="983">
    <w:name w:val="toc 2"/>
    <w:basedOn w:val="994"/>
    <w:next w:val="994"/>
    <w:uiPriority w:val="39"/>
    <w:unhideWhenUsed/>
    <w:pPr>
      <w:pBdr/>
      <w:spacing w:after="100"/>
      <w:ind w:left="220"/>
    </w:pPr>
  </w:style>
  <w:style w:type="paragraph" w:styleId="984">
    <w:name w:val="toc 3"/>
    <w:basedOn w:val="994"/>
    <w:next w:val="994"/>
    <w:uiPriority w:val="39"/>
    <w:unhideWhenUsed/>
    <w:pPr>
      <w:pBdr/>
      <w:spacing w:after="100"/>
      <w:ind w:left="440"/>
    </w:pPr>
  </w:style>
  <w:style w:type="paragraph" w:styleId="985">
    <w:name w:val="toc 4"/>
    <w:basedOn w:val="994"/>
    <w:next w:val="994"/>
    <w:uiPriority w:val="39"/>
    <w:unhideWhenUsed/>
    <w:pPr>
      <w:pBdr/>
      <w:spacing w:after="100"/>
      <w:ind w:left="660"/>
    </w:pPr>
  </w:style>
  <w:style w:type="paragraph" w:styleId="986">
    <w:name w:val="toc 5"/>
    <w:basedOn w:val="994"/>
    <w:next w:val="994"/>
    <w:uiPriority w:val="39"/>
    <w:unhideWhenUsed/>
    <w:pPr>
      <w:pBdr/>
      <w:spacing w:after="100"/>
      <w:ind w:left="880"/>
    </w:pPr>
  </w:style>
  <w:style w:type="paragraph" w:styleId="987">
    <w:name w:val="toc 6"/>
    <w:basedOn w:val="994"/>
    <w:next w:val="994"/>
    <w:uiPriority w:val="39"/>
    <w:unhideWhenUsed/>
    <w:pPr>
      <w:pBdr/>
      <w:spacing w:after="100"/>
      <w:ind w:left="1100"/>
    </w:pPr>
  </w:style>
  <w:style w:type="paragraph" w:styleId="988">
    <w:name w:val="toc 7"/>
    <w:basedOn w:val="994"/>
    <w:next w:val="994"/>
    <w:uiPriority w:val="39"/>
    <w:unhideWhenUsed/>
    <w:pPr>
      <w:pBdr/>
      <w:spacing w:after="100"/>
      <w:ind w:left="1320"/>
    </w:pPr>
  </w:style>
  <w:style w:type="paragraph" w:styleId="989">
    <w:name w:val="toc 8"/>
    <w:basedOn w:val="994"/>
    <w:next w:val="994"/>
    <w:uiPriority w:val="39"/>
    <w:unhideWhenUsed/>
    <w:pPr>
      <w:pBdr/>
      <w:spacing w:after="100"/>
      <w:ind w:left="1540"/>
    </w:pPr>
  </w:style>
  <w:style w:type="paragraph" w:styleId="990">
    <w:name w:val="toc 9"/>
    <w:basedOn w:val="994"/>
    <w:next w:val="994"/>
    <w:uiPriority w:val="39"/>
    <w:unhideWhenUsed/>
    <w:pPr>
      <w:pBdr/>
      <w:spacing w:after="100"/>
      <w:ind w:left="1760"/>
    </w:pPr>
  </w:style>
  <w:style w:type="character" w:styleId="991">
    <w:name w:val="Placeholder Text"/>
    <w:basedOn w:val="941"/>
    <w:uiPriority w:val="99"/>
    <w:semiHidden/>
    <w:pPr>
      <w:pBdr/>
      <w:spacing/>
      <w:ind/>
    </w:pPr>
    <w:rPr>
      <w:color w:val="666666"/>
    </w:rPr>
  </w:style>
  <w:style w:type="paragraph" w:styleId="992">
    <w:name w:val="TOC Heading"/>
    <w:uiPriority w:val="39"/>
    <w:unhideWhenUsed/>
    <w:pPr>
      <w:pBdr/>
      <w:spacing/>
      <w:ind/>
    </w:pPr>
  </w:style>
  <w:style w:type="paragraph" w:styleId="993">
    <w:name w:val="table of figures"/>
    <w:basedOn w:val="994"/>
    <w:next w:val="994"/>
    <w:uiPriority w:val="99"/>
    <w:unhideWhenUsed/>
    <w:pPr>
      <w:pBdr/>
      <w:spacing w:after="0" w:afterAutospacing="0"/>
      <w:ind/>
    </w:pPr>
  </w:style>
  <w:style w:type="paragraph" w:styleId="994" w:default="1">
    <w:name w:val="Normal"/>
    <w:next w:val="994"/>
    <w:link w:val="994"/>
    <w:qFormat/>
    <w:pPr>
      <w:pBdr/>
      <w:spacing/>
      <w:ind/>
    </w:pPr>
    <w:rPr>
      <w:sz w:val="24"/>
      <w:szCs w:val="24"/>
      <w:lang w:val="ru-RU" w:eastAsia="ru-RU" w:bidi="ar-SA"/>
    </w:rPr>
  </w:style>
  <w:style w:type="character" w:styleId="995">
    <w:name w:val="Основной шрифт абзаца"/>
    <w:next w:val="995"/>
    <w:link w:val="994"/>
    <w:uiPriority w:val="1"/>
    <w:semiHidden/>
    <w:unhideWhenUsed/>
    <w:pPr>
      <w:pBdr/>
      <w:spacing/>
      <w:ind/>
    </w:pPr>
  </w:style>
  <w:style w:type="table" w:styleId="996">
    <w:name w:val="Обычная таблица"/>
    <w:next w:val="996"/>
    <w:link w:val="994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97">
    <w:name w:val="Нет списка"/>
    <w:next w:val="997"/>
    <w:link w:val="994"/>
    <w:uiPriority w:val="99"/>
    <w:semiHidden/>
    <w:unhideWhenUsed/>
    <w:pPr>
      <w:pBdr/>
      <w:spacing/>
      <w:ind/>
    </w:pPr>
  </w:style>
  <w:style w:type="paragraph" w:styleId="998">
    <w:name w:val="ConsPlusNonformat"/>
    <w:next w:val="998"/>
    <w:link w:val="994"/>
    <w:uiPriority w:val="99"/>
    <w:pPr>
      <w:widowControl w:val="false"/>
      <w:pBdr/>
      <w:spacing/>
      <w:ind/>
    </w:pPr>
    <w:rPr>
      <w:rFonts w:ascii="Courier New" w:hAnsi="Courier New" w:cs="Courier New"/>
      <w:lang w:val="ru-RU" w:eastAsia="ru-RU" w:bidi="ar-SA"/>
    </w:rPr>
  </w:style>
  <w:style w:type="paragraph" w:styleId="999">
    <w:name w:val="ConsPlusTitle"/>
    <w:next w:val="999"/>
    <w:link w:val="994"/>
    <w:pPr>
      <w:widowControl w:val="false"/>
      <w:pBdr/>
      <w:spacing/>
      <w:ind/>
    </w:pPr>
    <w:rPr>
      <w:b/>
      <w:bCs/>
      <w:sz w:val="24"/>
      <w:szCs w:val="24"/>
      <w:lang w:val="ru-RU" w:eastAsia="ru-RU" w:bidi="ar-SA"/>
    </w:rPr>
  </w:style>
  <w:style w:type="paragraph" w:styleId="1000">
    <w:name w:val="Ñòèëü1"/>
    <w:basedOn w:val="994"/>
    <w:next w:val="1000"/>
    <w:link w:val="1001"/>
    <w:uiPriority w:val="99"/>
    <w:pPr>
      <w:pBdr/>
      <w:spacing w:line="288" w:lineRule="auto"/>
      <w:ind/>
    </w:pPr>
    <w:rPr>
      <w:sz w:val="28"/>
      <w:szCs w:val="20"/>
    </w:rPr>
  </w:style>
  <w:style w:type="character" w:styleId="1001">
    <w:name w:val="Ñòèëü1 Знак"/>
    <w:next w:val="1001"/>
    <w:link w:val="1000"/>
    <w:uiPriority w:val="99"/>
    <w:pPr>
      <w:pBdr/>
      <w:spacing/>
      <w:ind/>
    </w:pPr>
    <w:rPr>
      <w:rFonts w:cs="Times New Roman"/>
      <w:sz w:val="28"/>
      <w:lang w:val="ru-RU" w:eastAsia="ru-RU" w:bidi="ar-SA"/>
    </w:rPr>
  </w:style>
  <w:style w:type="paragraph" w:styleId="1002">
    <w:name w:val="Текст выноски"/>
    <w:basedOn w:val="994"/>
    <w:next w:val="1002"/>
    <w:link w:val="1003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1003">
    <w:name w:val="Текст выноски Знак"/>
    <w:next w:val="1003"/>
    <w:link w:val="1002"/>
    <w:uiPriority w:val="99"/>
    <w:semiHidden/>
    <w:pPr>
      <w:pBdr/>
      <w:spacing/>
      <w:ind/>
    </w:pPr>
    <w:rPr>
      <w:sz w:val="0"/>
      <w:szCs w:val="0"/>
    </w:rPr>
  </w:style>
  <w:style w:type="paragraph" w:styleId="1004">
    <w:name w:val="Абзац списка"/>
    <w:basedOn w:val="994"/>
    <w:next w:val="1004"/>
    <w:link w:val="994"/>
    <w:uiPriority w:val="99"/>
    <w:qFormat/>
    <w:pPr>
      <w:pBdr/>
      <w:spacing/>
      <w:ind w:left="720"/>
      <w:contextualSpacing w:val="true"/>
    </w:pPr>
  </w:style>
  <w:style w:type="table" w:styleId="1005">
    <w:name w:val="Сетка таблицы"/>
    <w:basedOn w:val="996"/>
    <w:next w:val="1005"/>
    <w:link w:val="994"/>
    <w:uiPriority w:val="99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06">
    <w:name w:val="ConsPlusNormal"/>
    <w:next w:val="1006"/>
    <w:link w:val="1033"/>
    <w:pPr>
      <w:pBdr/>
      <w:spacing/>
      <w:ind w:firstLine="720"/>
    </w:pPr>
    <w:rPr>
      <w:rFonts w:ascii="Arial" w:hAnsi="Arial" w:eastAsia="Calibri" w:cs="Arial"/>
      <w:lang w:val="ru-RU" w:eastAsia="en-US" w:bidi="ar-SA"/>
    </w:rPr>
  </w:style>
  <w:style w:type="paragraph" w:styleId="1007">
    <w:name w:val="Style1"/>
    <w:basedOn w:val="994"/>
    <w:next w:val="1007"/>
    <w:link w:val="994"/>
    <w:uiPriority w:val="99"/>
    <w:pPr>
      <w:widowControl w:val="false"/>
      <w:pBdr/>
      <w:spacing w:line="326" w:lineRule="exact"/>
      <w:ind/>
    </w:pPr>
  </w:style>
  <w:style w:type="paragraph" w:styleId="1008">
    <w:name w:val="Style2"/>
    <w:basedOn w:val="994"/>
    <w:next w:val="1008"/>
    <w:link w:val="994"/>
    <w:uiPriority w:val="99"/>
    <w:pPr>
      <w:widowControl w:val="false"/>
      <w:pBdr/>
      <w:spacing/>
      <w:ind/>
    </w:pPr>
  </w:style>
  <w:style w:type="paragraph" w:styleId="1009">
    <w:name w:val="Style3"/>
    <w:basedOn w:val="994"/>
    <w:next w:val="1009"/>
    <w:link w:val="994"/>
    <w:uiPriority w:val="99"/>
    <w:pPr>
      <w:widowControl w:val="false"/>
      <w:pBdr/>
      <w:spacing w:line="336" w:lineRule="exact"/>
      <w:ind/>
      <w:jc w:val="both"/>
    </w:pPr>
  </w:style>
  <w:style w:type="paragraph" w:styleId="1010">
    <w:name w:val="Style5"/>
    <w:basedOn w:val="994"/>
    <w:next w:val="1010"/>
    <w:link w:val="994"/>
    <w:uiPriority w:val="99"/>
    <w:pPr>
      <w:widowControl w:val="false"/>
      <w:pBdr/>
      <w:spacing w:line="317" w:lineRule="exact"/>
      <w:ind/>
      <w:jc w:val="center"/>
    </w:pPr>
  </w:style>
  <w:style w:type="paragraph" w:styleId="1011">
    <w:name w:val="Style6"/>
    <w:basedOn w:val="994"/>
    <w:next w:val="1011"/>
    <w:link w:val="994"/>
    <w:uiPriority w:val="99"/>
    <w:pPr>
      <w:widowControl w:val="false"/>
      <w:pBdr/>
      <w:spacing w:line="254" w:lineRule="exact"/>
      <w:ind/>
      <w:jc w:val="both"/>
    </w:pPr>
  </w:style>
  <w:style w:type="paragraph" w:styleId="1012">
    <w:name w:val="Style7"/>
    <w:basedOn w:val="994"/>
    <w:next w:val="1012"/>
    <w:link w:val="994"/>
    <w:uiPriority w:val="99"/>
    <w:pPr>
      <w:widowControl w:val="false"/>
      <w:pBdr/>
      <w:spacing/>
      <w:ind/>
    </w:pPr>
  </w:style>
  <w:style w:type="paragraph" w:styleId="1013">
    <w:name w:val="Style8"/>
    <w:basedOn w:val="994"/>
    <w:next w:val="1013"/>
    <w:link w:val="994"/>
    <w:uiPriority w:val="99"/>
    <w:pPr>
      <w:widowControl w:val="false"/>
      <w:pBdr/>
      <w:spacing/>
      <w:ind/>
    </w:pPr>
  </w:style>
  <w:style w:type="paragraph" w:styleId="1014">
    <w:name w:val="Style9"/>
    <w:basedOn w:val="994"/>
    <w:next w:val="1014"/>
    <w:link w:val="994"/>
    <w:uiPriority w:val="99"/>
    <w:pPr>
      <w:widowControl w:val="false"/>
      <w:pBdr/>
      <w:spacing/>
      <w:ind/>
    </w:pPr>
  </w:style>
  <w:style w:type="character" w:styleId="1015">
    <w:name w:val="Font Style12"/>
    <w:next w:val="1015"/>
    <w:link w:val="994"/>
    <w:uiPriority w:val="99"/>
    <w:pPr>
      <w:pBdr/>
      <w:spacing/>
      <w:ind/>
    </w:pPr>
    <w:rPr>
      <w:rFonts w:ascii="Times New Roman" w:hAnsi="Times New Roman" w:cs="Times New Roman"/>
      <w:sz w:val="26"/>
      <w:szCs w:val="26"/>
    </w:rPr>
  </w:style>
  <w:style w:type="character" w:styleId="1016">
    <w:name w:val="Font Style13"/>
    <w:next w:val="1016"/>
    <w:link w:val="994"/>
    <w:uiPriority w:val="99"/>
    <w:pPr>
      <w:pBdr/>
      <w:spacing/>
      <w:ind/>
    </w:pPr>
    <w:rPr>
      <w:rFonts w:ascii="Times New Roman" w:hAnsi="Times New Roman" w:cs="Times New Roman"/>
      <w:b/>
      <w:bCs/>
      <w:sz w:val="30"/>
      <w:szCs w:val="30"/>
    </w:rPr>
  </w:style>
  <w:style w:type="character" w:styleId="1017">
    <w:name w:val="Font Style14"/>
    <w:next w:val="1017"/>
    <w:link w:val="994"/>
    <w:uiPriority w:val="99"/>
    <w:pPr>
      <w:pBdr/>
      <w:spacing/>
      <w:ind/>
    </w:pPr>
    <w:rPr>
      <w:rFonts w:ascii="Times New Roman" w:hAnsi="Times New Roman" w:cs="Times New Roman"/>
      <w:b/>
      <w:bCs/>
      <w:sz w:val="20"/>
      <w:szCs w:val="20"/>
    </w:rPr>
  </w:style>
  <w:style w:type="character" w:styleId="1018">
    <w:name w:val="Font Style15"/>
    <w:next w:val="1018"/>
    <w:link w:val="994"/>
    <w:uiPriority w:val="99"/>
    <w:pPr>
      <w:pBdr/>
      <w:spacing/>
      <w:ind/>
    </w:pPr>
    <w:rPr>
      <w:rFonts w:ascii="Times New Roman" w:hAnsi="Times New Roman" w:cs="Times New Roman"/>
      <w:sz w:val="26"/>
      <w:szCs w:val="26"/>
    </w:rPr>
  </w:style>
  <w:style w:type="character" w:styleId="1019">
    <w:name w:val="Font Style16"/>
    <w:next w:val="1019"/>
    <w:link w:val="994"/>
    <w:uiPriority w:val="99"/>
    <w:pPr>
      <w:pBdr/>
      <w:spacing/>
      <w:ind/>
    </w:pPr>
    <w:rPr>
      <w:rFonts w:ascii="Times New Roman" w:hAnsi="Times New Roman" w:cs="Times New Roman"/>
      <w:spacing w:val="-10"/>
      <w:sz w:val="38"/>
      <w:szCs w:val="38"/>
    </w:rPr>
  </w:style>
  <w:style w:type="paragraph" w:styleId="1020">
    <w:name w:val="Style4"/>
    <w:basedOn w:val="994"/>
    <w:next w:val="1020"/>
    <w:link w:val="994"/>
    <w:uiPriority w:val="99"/>
    <w:pPr>
      <w:widowControl w:val="false"/>
      <w:pBdr/>
      <w:spacing w:line="317" w:lineRule="exact"/>
      <w:ind/>
    </w:pPr>
  </w:style>
  <w:style w:type="character" w:styleId="1021">
    <w:name w:val="Font Style11"/>
    <w:next w:val="1021"/>
    <w:link w:val="994"/>
    <w:uiPriority w:val="99"/>
    <w:pPr>
      <w:pBdr/>
      <w:spacing/>
      <w:ind/>
    </w:pPr>
    <w:rPr>
      <w:rFonts w:ascii="Times New Roman" w:hAnsi="Times New Roman" w:cs="Times New Roman"/>
      <w:sz w:val="26"/>
      <w:szCs w:val="26"/>
    </w:rPr>
  </w:style>
  <w:style w:type="paragraph" w:styleId="1022">
    <w:name w:val="Текст сноски"/>
    <w:basedOn w:val="994"/>
    <w:next w:val="1022"/>
    <w:link w:val="1023"/>
    <w:uiPriority w:val="99"/>
    <w:semiHidden/>
    <w:unhideWhenUsed/>
    <w:pPr>
      <w:pBdr/>
      <w:spacing/>
      <w:ind/>
    </w:pPr>
    <w:rPr>
      <w:rFonts w:ascii="Calibri" w:hAnsi="Calibri"/>
      <w:sz w:val="20"/>
      <w:szCs w:val="20"/>
      <w:lang w:eastAsia="en-US"/>
    </w:rPr>
  </w:style>
  <w:style w:type="character" w:styleId="1023">
    <w:name w:val="Текст сноски Знак"/>
    <w:next w:val="1023"/>
    <w:link w:val="1022"/>
    <w:uiPriority w:val="99"/>
    <w:semiHidden/>
    <w:pPr>
      <w:pBdr/>
      <w:spacing/>
      <w:ind/>
    </w:pPr>
    <w:rPr>
      <w:rFonts w:ascii="Calibri" w:hAnsi="Calibri" w:cs="Times New Roman"/>
      <w:lang w:eastAsia="en-US"/>
    </w:rPr>
  </w:style>
  <w:style w:type="character" w:styleId="1024">
    <w:name w:val="Знак сноски"/>
    <w:next w:val="1024"/>
    <w:link w:val="994"/>
    <w:uiPriority w:val="99"/>
    <w:semiHidden/>
    <w:unhideWhenUsed/>
    <w:pPr>
      <w:pBdr/>
      <w:spacing/>
      <w:ind/>
    </w:pPr>
    <w:rPr>
      <w:rFonts w:cs="Times New Roman"/>
      <w:vertAlign w:val="superscript"/>
    </w:rPr>
  </w:style>
  <w:style w:type="paragraph" w:styleId="1025">
    <w:name w:val="Верхний колонтитул"/>
    <w:basedOn w:val="994"/>
    <w:next w:val="1025"/>
    <w:link w:val="1026"/>
    <w:uiPriority w:val="99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026">
    <w:name w:val="Верхний колонтитул Знак"/>
    <w:next w:val="1026"/>
    <w:link w:val="1025"/>
    <w:uiPriority w:val="99"/>
    <w:pPr>
      <w:pBdr/>
      <w:spacing/>
      <w:ind/>
    </w:pPr>
    <w:rPr>
      <w:sz w:val="24"/>
      <w:szCs w:val="24"/>
    </w:rPr>
  </w:style>
  <w:style w:type="character" w:styleId="1027">
    <w:name w:val="Номер страницы"/>
    <w:next w:val="1027"/>
    <w:link w:val="994"/>
    <w:uiPriority w:val="99"/>
    <w:pPr>
      <w:pBdr/>
      <w:spacing/>
      <w:ind/>
    </w:pPr>
    <w:rPr>
      <w:rFonts w:cs="Times New Roman"/>
    </w:rPr>
  </w:style>
  <w:style w:type="character" w:styleId="1028">
    <w:name w:val="Гиперссылка"/>
    <w:next w:val="1028"/>
    <w:link w:val="994"/>
    <w:uiPriority w:val="99"/>
    <w:unhideWhenUsed/>
    <w:pPr>
      <w:pBdr/>
      <w:spacing/>
      <w:ind/>
    </w:pPr>
    <w:rPr>
      <w:color w:val="0000ff"/>
      <w:u w:val="single"/>
    </w:rPr>
  </w:style>
  <w:style w:type="character" w:styleId="1029">
    <w:name w:val="Строгий"/>
    <w:next w:val="1029"/>
    <w:link w:val="994"/>
    <w:uiPriority w:val="22"/>
    <w:qFormat/>
    <w:pPr>
      <w:pBdr/>
      <w:spacing/>
      <w:ind/>
    </w:pPr>
    <w:rPr>
      <w:b/>
      <w:bCs/>
    </w:rPr>
  </w:style>
  <w:style w:type="paragraph" w:styleId="1030">
    <w:name w:val="Нижний колонтитул"/>
    <w:basedOn w:val="994"/>
    <w:next w:val="1030"/>
    <w:link w:val="1031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031">
    <w:name w:val="Нижний колонтитул Знак"/>
    <w:next w:val="1031"/>
    <w:link w:val="1030"/>
    <w:uiPriority w:val="99"/>
    <w:pPr>
      <w:pBdr/>
      <w:spacing/>
      <w:ind/>
    </w:pPr>
    <w:rPr>
      <w:sz w:val="24"/>
      <w:szCs w:val="24"/>
    </w:rPr>
  </w:style>
  <w:style w:type="paragraph" w:styleId="1032">
    <w:name w:val="Default"/>
    <w:next w:val="1032"/>
    <w:link w:val="994"/>
    <w:uiPriority w:val="99"/>
    <w:pPr>
      <w:pBdr/>
      <w:spacing/>
      <w:ind/>
    </w:pPr>
    <w:rPr>
      <w:color w:val="000000"/>
      <w:sz w:val="24"/>
      <w:szCs w:val="24"/>
      <w:lang w:val="ru-RU" w:eastAsia="ru-RU" w:bidi="ar-SA"/>
    </w:rPr>
  </w:style>
  <w:style w:type="character" w:styleId="1033">
    <w:name w:val="ConsPlusNormal Знак"/>
    <w:next w:val="1033"/>
    <w:link w:val="1006"/>
    <w:pPr>
      <w:pBdr/>
      <w:spacing/>
      <w:ind/>
    </w:pPr>
    <w:rPr>
      <w:rFonts w:ascii="Arial" w:hAnsi="Arial" w:eastAsia="Calibri" w:cs="Arial"/>
      <w:lang w:eastAsia="en-US"/>
    </w:rPr>
  </w:style>
  <w:style w:type="character" w:styleId="1034">
    <w:name w:val="Гипертекстовая ссылка"/>
    <w:next w:val="1034"/>
    <w:link w:val="994"/>
    <w:uiPriority w:val="99"/>
    <w:pPr>
      <w:pBdr/>
      <w:spacing/>
      <w:ind/>
    </w:pPr>
    <w:rPr>
      <w:color w:val="106bbe"/>
    </w:rPr>
  </w:style>
  <w:style w:type="paragraph" w:styleId="1035">
    <w:name w:val="Нормальный (таблица)"/>
    <w:basedOn w:val="994"/>
    <w:next w:val="994"/>
    <w:link w:val="994"/>
    <w:uiPriority w:val="99"/>
    <w:pPr>
      <w:widowControl w:val="false"/>
      <w:pBdr/>
      <w:spacing/>
      <w:ind/>
      <w:jc w:val="both"/>
    </w:pPr>
    <w:rPr>
      <w:rFonts w:ascii="Arial" w:hAnsi="Arial" w:cs="Arial"/>
    </w:rPr>
  </w:style>
  <w:style w:type="paragraph" w:styleId="1036">
    <w:name w:val="Прижатый влево"/>
    <w:basedOn w:val="994"/>
    <w:next w:val="994"/>
    <w:link w:val="994"/>
    <w:uiPriority w:val="99"/>
    <w:pPr>
      <w:widowControl w:val="false"/>
      <w:pBdr/>
      <w:spacing/>
      <w:ind/>
    </w:pPr>
    <w:rPr>
      <w:rFonts w:ascii="Arial" w:hAnsi="Arial" w:cs="Arial"/>
    </w:rPr>
  </w:style>
  <w:style w:type="character" w:styleId="1037">
    <w:name w:val="Знак примечания"/>
    <w:next w:val="1037"/>
    <w:link w:val="994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038">
    <w:name w:val="Текст примечания"/>
    <w:basedOn w:val="994"/>
    <w:next w:val="1038"/>
    <w:link w:val="1039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1039">
    <w:name w:val="Текст примечания Знак"/>
    <w:basedOn w:val="995"/>
    <w:next w:val="1039"/>
    <w:link w:val="1038"/>
    <w:uiPriority w:val="99"/>
    <w:semiHidden/>
    <w:pPr>
      <w:pBdr/>
      <w:spacing/>
      <w:ind/>
    </w:pPr>
  </w:style>
  <w:style w:type="paragraph" w:styleId="1040">
    <w:name w:val="Тема примечания"/>
    <w:basedOn w:val="1038"/>
    <w:next w:val="1038"/>
    <w:link w:val="1041"/>
    <w:uiPriority w:val="99"/>
    <w:semiHidden/>
    <w:unhideWhenUsed/>
    <w:pPr>
      <w:pBdr/>
      <w:spacing/>
      <w:ind/>
    </w:pPr>
    <w:rPr>
      <w:b/>
      <w:bCs/>
    </w:rPr>
  </w:style>
  <w:style w:type="character" w:styleId="1041">
    <w:name w:val="Тема примечания Знак"/>
    <w:next w:val="1041"/>
    <w:link w:val="1040"/>
    <w:uiPriority w:val="99"/>
    <w:semiHidden/>
    <w:pPr>
      <w:pBdr/>
      <w:spacing/>
      <w:ind/>
    </w:pPr>
    <w:rPr>
      <w:b/>
      <w:bCs/>
    </w:rPr>
  </w:style>
  <w:style w:type="paragraph" w:styleId="1042">
    <w:name w:val="Рецензия"/>
    <w:next w:val="1042"/>
    <w:link w:val="994"/>
    <w:hidden/>
    <w:uiPriority w:val="99"/>
    <w:semiHidden/>
    <w:pPr>
      <w:pBdr/>
      <w:spacing/>
      <w:ind/>
    </w:pPr>
    <w:rPr>
      <w:sz w:val="24"/>
      <w:szCs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4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КАБИНЕТ МИНИСТРОВ РЕСПУБЛИКИ ТАТАРСТАН</dc:title>
  <dc:creator>minnikaeva</dc:creator>
  <cp:revision>8</cp:revision>
  <dcterms:created xsi:type="dcterms:W3CDTF">2023-12-27T07:59:00Z</dcterms:created>
  <dcterms:modified xsi:type="dcterms:W3CDTF">2026-07-10T13:57:29Z</dcterms:modified>
  <cp:version>1048576</cp:version>
</cp:coreProperties>
</file>