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Проект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КАБИНЕТ МИНИСТРОВ РЕСПУБЛИКИ ТАТАРСТАН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rPr>
          <w:sz w:val="28"/>
          <w:szCs w:val="28"/>
        </w:rPr>
      </w:pPr>
      <w:r>
        <w:rPr>
          <w:sz w:val="28"/>
          <w:szCs w:val="28"/>
        </w:rPr>
        <w:t xml:space="preserve">«____» ________ 20</w:t>
      </w:r>
      <w:r>
        <w:rPr>
          <w:sz w:val="28"/>
          <w:szCs w:val="28"/>
        </w:rPr>
        <w:t xml:space="preserve">2</w:t>
      </w:r>
      <w:r>
        <w:rPr>
          <w:sz w:val="28"/>
          <w:szCs w:val="28"/>
        </w:rPr>
        <w:t xml:space="preserve">6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№_____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0071A941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4820" w:firstLine="0" w:left="0"/>
        <w:jc w:val="both"/>
        <w:rPr/>
      </w:pPr>
      <w:r>
        <w:rPr>
          <w:sz w:val="28"/>
          <w:szCs w:val="28"/>
        </w:rPr>
      </w:r>
      <w:r>
        <w:rPr>
          <w:sz w:val="28"/>
          <w:szCs w:val="28"/>
        </w:rPr>
        <w:t xml:space="preserve">О внесении </w:t>
      </w:r>
      <w:r>
        <w:rPr>
          <w:b w:val="0"/>
          <w:bCs w:val="0"/>
          <w:sz w:val="28"/>
          <w:szCs w:val="28"/>
        </w:rPr>
        <w:t xml:space="preserve">изменения в </w:t>
      </w:r>
      <w:r>
        <w:rPr>
          <w:sz w:val="28"/>
          <w:szCs w:val="28"/>
        </w:rPr>
        <w:t xml:space="preserve">нормативные </w:t>
      </w:r>
      <w:hyperlink r:id="rId14" w:tooltip="https://login.consultant.ru/link/?req=doc&amp;base=RLAW363&amp;n=192829&amp;dst=100019&amp;field=134&amp;date=02.07.2026" w:history="1">
        <w:r>
          <w:rPr>
            <w:sz w:val="28"/>
            <w:szCs w:val="28"/>
          </w:rPr>
          <w:t xml:space="preserve">затраты</w:t>
        </w:r>
      </w:hyperlink>
      <w:r>
        <w:rPr>
          <w:sz w:val="28"/>
          <w:szCs w:val="28"/>
        </w:rPr>
        <w:t xml:space="preserve"> на реализацию программ подготовки специалистов среднего звена в государственных профессиональных образовательных организациях Республики Татарстан, используемые при формировании государственного задания, на 2026 год</w:t>
      </w:r>
      <w:r>
        <w:rPr>
          <w:sz w:val="28"/>
          <w:szCs w:val="28"/>
        </w:rPr>
        <w:t xml:space="preserve">, утвержденные </w:t>
      </w:r>
      <w:r>
        <w:rPr>
          <w:b w:val="0"/>
          <w:bCs w:val="0"/>
          <w:sz w:val="28"/>
          <w:szCs w:val="28"/>
        </w:rPr>
        <w:t xml:space="preserve">постановлением</w:t>
      </w:r>
      <w:r>
        <w:rPr>
          <w:b w:val="0"/>
          <w:bCs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Кабинета Министров Республики </w:t>
      </w:r>
      <w:r>
        <w:rPr>
          <w:sz w:val="28"/>
          <w:szCs w:val="28"/>
        </w:rPr>
        <w:t xml:space="preserve">Татарстан от </w:t>
      </w:r>
      <w:r>
        <w:rPr>
          <w:sz w:val="28"/>
          <w:szCs w:val="28"/>
        </w:rPr>
        <w:t xml:space="preserve">25.09.2025 № 753</w:t>
      </w:r>
      <w:r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Об утверждении нормативных затрат на реализацию программ подготовки специалистов среднего звена и нормативных затрат на обеспечение студентов жилыми помещениями, содержание детей в государственных профессиональных образовательных организациях Республики Та</w:t>
      </w:r>
      <w:r>
        <w:rPr>
          <w:sz w:val="28"/>
          <w:szCs w:val="28"/>
        </w:rPr>
        <w:t xml:space="preserve">тарстан, используемых при формировании государственного задания, на 2026 год и на плановый период 2027 и 2028 годов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</w:r>
      <w:r/>
    </w:p>
    <w:p>
      <w:pPr>
        <w:pBdr/>
        <w:spacing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Кабинет Министров Республики Татарстан</w:t>
      </w:r>
      <w:r>
        <w:rPr>
          <w:sz w:val="28"/>
          <w:szCs w:val="28"/>
        </w:rPr>
        <w:t xml:space="preserve"> ПОСТАНОВЛЯЕТ: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uto"/>
        <w:ind w:right="0" w:firstLine="709" w:left="0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 w:eastAsia="Calibri"/>
          <w:sz w:val="28"/>
          <w:szCs w:val="28"/>
        </w:rPr>
        <w:t xml:space="preserve">Внести </w:t>
      </w: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sz w:val="28"/>
          <w:szCs w:val="28"/>
        </w:rPr>
        <w:t xml:space="preserve">нормативные </w:t>
      </w:r>
      <w:hyperlink r:id="rId15" w:tooltip="https://login.consultant.ru/link/?req=doc&amp;base=RLAW363&amp;n=192829&amp;dst=100019&amp;field=134&amp;date=02.07.2026" w:history="1">
        <w:r>
          <w:rPr>
            <w:sz w:val="28"/>
            <w:szCs w:val="28"/>
          </w:rPr>
          <w:t xml:space="preserve">затраты</w:t>
        </w:r>
      </w:hyperlink>
      <w:r>
        <w:rPr>
          <w:sz w:val="28"/>
          <w:szCs w:val="28"/>
        </w:rPr>
        <w:t xml:space="preserve"> на реализацию программ подготовки специалистов среднего звена в государственных профессиональных образовательных организациях Республики Татарстан, используемые при формировании государственного задания, на 2026 год</w:t>
      </w:r>
      <w:r>
        <w:rPr>
          <w:sz w:val="28"/>
          <w:szCs w:val="28"/>
        </w:rPr>
        <w:t xml:space="preserve">, утвержденные </w:t>
      </w:r>
      <w:r>
        <w:rPr>
          <w:b w:val="0"/>
          <w:bCs w:val="0"/>
          <w:sz w:val="28"/>
          <w:szCs w:val="28"/>
        </w:rPr>
        <w:t xml:space="preserve">постановлением</w:t>
      </w:r>
      <w:r>
        <w:rPr>
          <w:b w:val="0"/>
          <w:bCs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Кабинета Министров Республики </w:t>
      </w:r>
      <w:r>
        <w:rPr>
          <w:sz w:val="28"/>
          <w:szCs w:val="28"/>
        </w:rPr>
        <w:t xml:space="preserve">Татарстан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т 25.09.2025</w:t>
        <w:br/>
        <w:t xml:space="preserve">№ 753 «Об утверждении нормативных затрат на реализацию программ подготовки специалистов среднего звена и нормативных затрат на обеспечение студентов жилыми помещениями, содержание детей в государственных профессиональных образовательных органи</w:t>
      </w:r>
      <w:r>
        <w:rPr>
          <w:sz w:val="28"/>
          <w:szCs w:val="28"/>
        </w:rPr>
        <w:t xml:space="preserve">зациях Республики Татарстан, используемых при формировании государственного задания, на 2026 год и на плановый период 2027 и 2028 годов»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 w:eastAsia="Calibri"/>
          <w:sz w:val="28"/>
          <w:szCs w:val="28"/>
        </w:rPr>
        <w:t xml:space="preserve"> </w:t>
      </w:r>
      <w:r>
        <w:rPr>
          <w:rFonts w:ascii="Times New Roman" w:hAnsi="Times New Roman" w:eastAsia="Calibri"/>
          <w:sz w:val="28"/>
          <w:szCs w:val="28"/>
        </w:rPr>
        <w:t xml:space="preserve">и</w:t>
      </w:r>
      <w:r>
        <w:rPr>
          <w:rFonts w:ascii="Times New Roman" w:hAnsi="Times New Roman" w:eastAsia="Calibri"/>
          <w:sz w:val="28"/>
          <w:szCs w:val="28"/>
        </w:rPr>
        <w:t xml:space="preserve">зменение, дополнив раздел «</w:t>
      </w:r>
      <w:r>
        <w:rPr>
          <w:rFonts w:ascii="Times New Roman" w:hAnsi="Times New Roman" w:eastAsia="Calibri"/>
          <w:sz w:val="28"/>
          <w:szCs w:val="28"/>
        </w:rPr>
        <w:t xml:space="preserve">Здравоохранение и медицинские науки</w:t>
      </w:r>
      <w:r>
        <w:rPr>
          <w:rFonts w:ascii="Times New Roman" w:hAnsi="Times New Roman" w:eastAsia="Calibri"/>
          <w:sz w:val="28"/>
          <w:szCs w:val="28"/>
        </w:rPr>
        <w:t xml:space="preserve">» строкой следующего содержания</w:t>
      </w:r>
      <w:bookmarkStart w:id="0" w:name="_GoBack"/>
      <w:r/>
      <w:bookmarkEnd w:id="0"/>
      <w:r>
        <w:rPr>
          <w:rFonts w:ascii="Times New Roman" w:hAnsi="Times New Roman"/>
          <w:sz w:val="28"/>
          <w:szCs w:val="28"/>
          <w14:ligatures w14:val="none"/>
        </w:rPr>
        <w:t xml:space="preserve">:</w:t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 w14:paraId="07A561F9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uto"/>
        <w:ind w:right="0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tbl>
      <w:tblPr>
        <w:tblInd w:w="0" w:type="dxa"/>
        <w:tblW w:w="0" w:type="auto"/>
        <w:tblCellMar>
          <w:left w:w="108" w:type="dxa"/>
          <w:top w:w="0" w:type="dxa"/>
          <w:right w:w="108" w:type="dxa"/>
          <w:bottom w:w="0" w:type="dxa"/>
        </w:tblCellMar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2275"/>
        <w:gridCol w:w="843"/>
        <w:gridCol w:w="1417"/>
        <w:gridCol w:w="1276"/>
        <w:gridCol w:w="1276"/>
        <w:gridCol w:w="1135"/>
      </w:tblGrid>
      <w:tr>
        <w:trPr>
          <w:trHeight w:val="86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top"/>
            <w:textDirection w:val="lrTb"/>
          </w:tcPr>
          <w:p w14:paraId="0D7467CF">
            <w:pPr>
              <w:pStyle w:val="978"/>
              <w:pBdr/>
              <w:spacing w:before="0"/>
              <w:ind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«31.02.</w:t>
            </w:r>
            <w:r>
              <w:rPr>
                <w:color w:val="000000"/>
                <w:sz w:val="22"/>
                <w:szCs w:val="22"/>
              </w:rPr>
              <w:t xml:space="preserve">07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75" w:type="dxa"/>
            <w:vAlign w:val="top"/>
            <w:textDirection w:val="lrTb"/>
          </w:tcPr>
          <w:p w14:paraId="65812B0A">
            <w:pPr>
              <w:pStyle w:val="978"/>
              <w:pBdr/>
              <w:spacing w:before="0"/>
              <w:ind w:left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Стоматологическое дело</w:t>
            </w:r>
            <w:r>
              <w:rPr>
                <w:color w:val="000000"/>
                <w:sz w:val="22"/>
                <w:szCs w:val="22"/>
              </w:rPr>
            </w: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3" w:type="dxa"/>
            <w:vAlign w:val="top"/>
            <w:textDirection w:val="lrTb"/>
          </w:tcPr>
          <w:p w14:paraId="5B91B489"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7" w:type="dxa"/>
            <w:vAlign w:val="top"/>
            <w:textDirection w:val="lrTb"/>
          </w:tcPr>
          <w:p w14:paraId="7B47E6F5">
            <w:pPr>
              <w:pStyle w:val="959"/>
              <w:widowControl w:val="true"/>
              <w:pBdr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  <w:lang w:val="en-US"/>
              </w:rPr>
              <w:t xml:space="preserve">30 </w:t>
            </w:r>
            <w:r>
              <w:rPr>
                <w:sz w:val="22"/>
                <w:szCs w:val="22"/>
                <w:lang w:val="en-US"/>
              </w:rPr>
              <w:t xml:space="preserve">902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top"/>
            <w:textDirection w:val="lrTb"/>
          </w:tcPr>
          <w:p w14:paraId="7920BFCA">
            <w:pPr>
              <w:pStyle w:val="959"/>
              <w:widowControl w:val="true"/>
              <w:pBdr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</w:t>
            </w:r>
            <w:r>
              <w:rPr>
                <w:sz w:val="22"/>
                <w:szCs w:val="22"/>
                <w:lang w:val="en-US"/>
              </w:rPr>
              <w:t xml:space="preserve">35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 xml:space="preserve">952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76" w:type="dxa"/>
            <w:vAlign w:val="top"/>
            <w:textDirection w:val="lrTb"/>
          </w:tcPr>
          <w:p w14:paraId="719EC3FA">
            <w:pPr>
              <w:pStyle w:val="959"/>
              <w:widowControl w:val="true"/>
              <w:pBdr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136 321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5" w:type="dxa"/>
            <w:vAlign w:val="top"/>
            <w:textDirection w:val="lrTb"/>
          </w:tcPr>
          <w:p w14:paraId="6A3DCD9A">
            <w:pPr>
              <w:pStyle w:val="959"/>
              <w:widowControl w:val="true"/>
              <w:pBdr/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141 371</w:t>
            </w:r>
            <w:r>
              <w:rPr>
                <w:sz w:val="22"/>
                <w:szCs w:val="22"/>
                <w:lang w:val="ru-RU"/>
              </w:rPr>
              <w:t xml:space="preserve">».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 w14:paraId="1533F3E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uto"/>
        <w:ind w:right="0"/>
        <w:jc w:val="both"/>
        <w:rPr>
          <w:rFonts w:ascii="Times New Roman" w:hAnsi="Times New Roman"/>
          <w:sz w:val="28"/>
          <w:szCs w:val="28"/>
          <w14:ligatures w14:val="none"/>
        </w:rPr>
      </w:pP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  <w:r>
        <w:rPr>
          <w:rFonts w:ascii="Times New Roman" w:hAnsi="Times New Roman"/>
          <w:sz w:val="28"/>
          <w:szCs w:val="28"/>
          <w14:ligatures w14:val="none"/>
        </w:rPr>
      </w:r>
    </w:p>
    <w:p>
      <w:pPr>
        <w:pBdr/>
        <w:spacing w:line="288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88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88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Премьер-министр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line="288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Республики Татарстан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/>
        <w:ind w:left="6521"/>
        <w:jc w:val="both"/>
        <w:rPr>
          <w:sz w:val="28"/>
          <w:szCs w:val="28"/>
        </w:rPr>
        <w:sectPr>
          <w:headerReference w:type="default" r:id="rId9"/>
          <w:headerReference w:type="even" r:id="rId10"/>
          <w:headerReference w:type="first" r:id="rId11"/>
          <w:footnotePr/>
          <w:endnotePr/>
          <w:type w:val="nextPage"/>
          <w:pgSz w:h="16838" w:orient="portrait" w:w="11906"/>
          <w:pgMar w:top="1134" w:right="850" w:bottom="993" w:left="1701" w:header="708" w:footer="0" w:gutter="0"/>
          <w:pgNumType w:start="1"/>
          <w:cols w:num="1" w:sep="0" w:space="708" w:equalWidth="1"/>
          <w:titlePg/>
        </w:sect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/>
        <w:spacing w:after="60" w:line="288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Bdr/>
        <w:spacing w:line="288" w:lineRule="auto"/>
        <w:ind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постановления Кабинета Министров Республики Татарстан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 w14:paraId="2F07CFB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88" w:lineRule="auto"/>
        <w:ind/>
        <w:jc w:val="center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  <w:t xml:space="preserve">О внесении </w:t>
      </w:r>
      <w:r>
        <w:rPr>
          <w:b/>
          <w:bCs/>
          <w:sz w:val="28"/>
          <w:szCs w:val="28"/>
        </w:rPr>
        <w:t xml:space="preserve">изменения в </w:t>
      </w:r>
      <w:r>
        <w:rPr>
          <w:b/>
          <w:bCs/>
          <w:sz w:val="28"/>
          <w:szCs w:val="28"/>
        </w:rPr>
        <w:t xml:space="preserve">нормативные </w:t>
      </w:r>
      <w:hyperlink r:id="rId16" w:tooltip="https://login.consultant.ru/link/?req=doc&amp;base=RLAW363&amp;n=192829&amp;dst=100019&amp;field=134&amp;date=02.07.2026" w:history="1">
        <w:r>
          <w:rPr>
            <w:b/>
            <w:bCs/>
            <w:sz w:val="28"/>
            <w:szCs w:val="28"/>
          </w:rPr>
          <w:t xml:space="preserve">затраты</w:t>
        </w:r>
      </w:hyperlink>
      <w:r>
        <w:rPr>
          <w:b/>
          <w:bCs/>
          <w:sz w:val="28"/>
          <w:szCs w:val="28"/>
        </w:rPr>
        <w:t xml:space="preserve"> на реализацию программ подготовки специалистов среднего звена в государственных профессиональных образовательных организациях Республики Татарстан, используемые при формировании государственного задания, на 2026 год</w:t>
      </w:r>
      <w:r>
        <w:rPr>
          <w:b/>
          <w:bCs/>
          <w:sz w:val="28"/>
          <w:szCs w:val="28"/>
        </w:rPr>
        <w:t xml:space="preserve">, утвержденные </w:t>
      </w:r>
      <w:r>
        <w:rPr>
          <w:b/>
          <w:bCs/>
          <w:sz w:val="28"/>
          <w:szCs w:val="28"/>
        </w:rPr>
        <w:t xml:space="preserve">постановлением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Кабинета Министров Республики </w:t>
      </w:r>
      <w:r>
        <w:rPr>
          <w:b/>
          <w:bCs/>
          <w:sz w:val="28"/>
          <w:szCs w:val="28"/>
        </w:rPr>
        <w:t xml:space="preserve">Татарстан от </w:t>
      </w:r>
      <w:r>
        <w:rPr>
          <w:b/>
          <w:bCs/>
          <w:sz w:val="28"/>
          <w:szCs w:val="28"/>
        </w:rPr>
        <w:t xml:space="preserve">25.09.2025</w:t>
        <w:br/>
        <w:t xml:space="preserve">№ 753</w:t>
      </w:r>
      <w:r>
        <w:rPr>
          <w:b/>
          <w:bCs/>
          <w:sz w:val="28"/>
          <w:szCs w:val="28"/>
        </w:rPr>
        <w:t xml:space="preserve"> «</w:t>
      </w:r>
      <w:r>
        <w:rPr>
          <w:b/>
          <w:bCs/>
          <w:sz w:val="28"/>
          <w:szCs w:val="28"/>
        </w:rPr>
        <w:t xml:space="preserve">Об утверждении нормативных затрат на реализацию программ подготовки специалистов среднего звена и нормативных затрат на обеспечение студентов жилыми помещениями, содержание детей в государственных профессиональных образовательных организациях Республики Та</w:t>
      </w:r>
      <w:r>
        <w:rPr>
          <w:b/>
          <w:bCs/>
          <w:sz w:val="28"/>
          <w:szCs w:val="28"/>
        </w:rPr>
        <w:t xml:space="preserve">тарстан, используемых при формировании государственного задания, на 2026 год и на плановый период 2027 и 2028 годов</w:t>
      </w:r>
      <w:r>
        <w:rPr>
          <w:b/>
          <w:bCs/>
          <w:sz w:val="28"/>
          <w:szCs w:val="28"/>
        </w:rPr>
        <w:t xml:space="preserve">»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  <w14:ligatures w14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88" w:lineRule="auto"/>
        <w:ind/>
        <w:jc w:val="center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  <w14:ligatures w14:val="none"/>
        </w:rPr>
      </w:r>
      <w:r>
        <w:rPr>
          <w:b/>
          <w:bCs/>
          <w:sz w:val="28"/>
          <w:szCs w:val="28"/>
          <w14:ligatures w14:val="none"/>
        </w:rPr>
      </w:r>
    </w:p>
    <w:p w14:paraId="2F07CFB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uto"/>
        <w:ind w:right="0" w:firstLine="709" w:left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постановления Кабинета Министров Республики Татарстан </w:t>
      </w:r>
      <w:r>
        <w:rPr>
          <w:rFonts w:ascii="Times New Roman" w:hAnsi="Times New Roman" w:cs="Times New Roman"/>
          <w:sz w:val="28"/>
          <w:szCs w:val="28"/>
        </w:rPr>
        <w:t xml:space="preserve">«О внесении </w:t>
      </w:r>
      <w:r>
        <w:rPr>
          <w:rFonts w:ascii="Times New Roman" w:hAnsi="Times New Roman" w:cs="Times New Roman"/>
          <w:sz w:val="28"/>
          <w:szCs w:val="28"/>
        </w:rPr>
        <w:t xml:space="preserve">изменения в </w:t>
      </w:r>
      <w:r>
        <w:rPr>
          <w:rFonts w:ascii="Times New Roman" w:hAnsi="Times New Roman" w:cs="Times New Roman"/>
          <w:sz w:val="28"/>
          <w:szCs w:val="28"/>
        </w:rPr>
        <w:t xml:space="preserve">нормативные </w:t>
      </w:r>
      <w:hyperlink r:id="rId17" w:tooltip="https://login.consultant.ru/link/?req=doc&amp;base=RLAW363&amp;n=192829&amp;dst=100019&amp;field=134&amp;date=02.07.2026" w:history="1">
        <w:r>
          <w:rPr>
            <w:rFonts w:ascii="Times New Roman" w:hAnsi="Times New Roman" w:cs="Times New Roman"/>
            <w:sz w:val="28"/>
            <w:szCs w:val="28"/>
          </w:rPr>
          <w:t xml:space="preserve">затраты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 реализацию программ подготовки специалистов среднего звена в государственных профессиональных образовательных организациях Республики Татарстан, используемые при формировании государственного задания, на 2026 год</w:t>
      </w:r>
      <w:r>
        <w:rPr>
          <w:rFonts w:ascii="Times New Roman" w:hAnsi="Times New Roman" w:cs="Times New Roman"/>
          <w:sz w:val="28"/>
          <w:szCs w:val="28"/>
        </w:rPr>
        <w:t xml:space="preserve">, утвержденные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Кабинета Министров Республики </w:t>
      </w:r>
      <w:r>
        <w:rPr>
          <w:rFonts w:ascii="Times New Roman" w:hAnsi="Times New Roman" w:cs="Times New Roman"/>
          <w:sz w:val="28"/>
          <w:szCs w:val="28"/>
        </w:rPr>
        <w:t xml:space="preserve">Татарстан от </w:t>
      </w:r>
      <w:r>
        <w:rPr>
          <w:rFonts w:ascii="Times New Roman" w:hAnsi="Times New Roman" w:cs="Times New Roman"/>
          <w:sz w:val="28"/>
          <w:szCs w:val="28"/>
        </w:rPr>
        <w:t xml:space="preserve">25.09.2025 № 753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нормативных затрат на реализацию программ подготовки специалистов среднего звена и нормативных затрат на обеспечение студентов жилыми помещениями, содержание детей в государственных профессиональных образовательных организациях Республики Та</w:t>
      </w:r>
      <w:r>
        <w:rPr>
          <w:rFonts w:ascii="Times New Roman" w:hAnsi="Times New Roman" w:cs="Times New Roman"/>
          <w:sz w:val="28"/>
          <w:szCs w:val="28"/>
        </w:rPr>
        <w:t xml:space="preserve">тарстан, используемых при формировании государственного задания, на 2026 год и на плановый период 2027 и 2028 </w:t>
      </w:r>
      <w:r>
        <w:rPr>
          <w:sz w:val="28"/>
          <w:szCs w:val="28"/>
        </w:rPr>
        <w:t xml:space="preserve">годов</w:t>
      </w:r>
      <w:r>
        <w:rPr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разработан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</w:t>
      </w:r>
      <w:r>
        <w:rPr>
          <w:rFonts w:ascii="Times New Roman" w:hAnsi="Times New Roman" w:cs="Times New Roman"/>
          <w:sz w:val="28"/>
          <w:szCs w:val="28"/>
        </w:rPr>
        <w:t xml:space="preserve">ым</w:t>
      </w:r>
      <w:r>
        <w:rPr>
          <w:rFonts w:ascii="Times New Roman" w:hAnsi="Times New Roman" w:cs="Times New Roman"/>
          <w:sz w:val="28"/>
          <w:szCs w:val="28"/>
        </w:rPr>
        <w:t xml:space="preserve"> бюджетн</w:t>
      </w:r>
      <w:r>
        <w:rPr>
          <w:rFonts w:ascii="Times New Roman" w:hAnsi="Times New Roman" w:cs="Times New Roman"/>
          <w:sz w:val="28"/>
          <w:szCs w:val="28"/>
        </w:rPr>
        <w:t xml:space="preserve">ым</w:t>
      </w:r>
      <w:r>
        <w:rPr>
          <w:rFonts w:ascii="Times New Roman" w:hAnsi="Times New Roman" w:cs="Times New Roman"/>
          <w:sz w:val="28"/>
          <w:szCs w:val="28"/>
        </w:rPr>
        <w:t xml:space="preserve"> учреждение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 «Центр экономических и социальных исследований Республики Татарстан при Кабинете Министров Республики Татарстан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разработан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соответствии с обращением Министерства здравоохранения Республики Татарстан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от 25.06.2026 № 09-01/8425 о включении стоимости обучения по </w:t>
      </w:r>
      <w:r>
        <w:rPr>
          <w:rFonts w:ascii="Times New Roman" w:hAnsi="Times New Roman" w:cs="Times New Roman"/>
          <w:sz w:val="28"/>
          <w:szCs w:val="28"/>
        </w:rPr>
        <w:t xml:space="preserve">программе подготовки специалистов среднего звена по специальности 31.02.07 «Стоматологическое дело»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Проектом постановления Кабинета Министров Республики Татарстан вносится изменение в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нормативные затраты на реализацию программ подготовки специалистов среднего звена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 в части дополнения </w:t>
      </w:r>
      <w:r>
        <w:rPr>
          <w:rFonts w:ascii="Times New Roman" w:hAnsi="Times New Roman" w:cs="Times New Roman"/>
          <w:sz w:val="28"/>
          <w:szCs w:val="28"/>
        </w:rPr>
        <w:t xml:space="preserve">нормативными затратами </w:t>
      </w:r>
      <w:r>
        <w:rPr>
          <w:rFonts w:ascii="Times New Roman" w:hAnsi="Times New Roman" w:cs="Times New Roman"/>
          <w:sz w:val="28"/>
          <w:szCs w:val="28"/>
        </w:rPr>
        <w:t xml:space="preserve">по программе подготовки специалистов среднего звена по специальности 31.02.07 «Стоматологическое дело</w:t>
      </w:r>
      <w:r>
        <w:rPr>
          <w:rFonts w:ascii="Times New Roman" w:hAnsi="Times New Roman" w:cs="Times New Roman"/>
          <w:sz w:val="28"/>
          <w:szCs w:val="28"/>
        </w:rPr>
        <w:t xml:space="preserve">».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 w14:paraId="22653F3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uto"/>
        <w:ind w:right="0" w:firstLine="709" w:left="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4"/>
        </w:rPr>
      </w:r>
      <w:r>
        <w:rPr>
          <w:rFonts w:ascii="Times New Roman" w:hAnsi="Times New Roman" w:cs="Times New Roman"/>
          <w:sz w:val="28"/>
          <w:szCs w:val="28"/>
        </w:rPr>
      </w:r>
      <w:bookmarkStart w:id="5" w:name="_Hlk172273865"/>
      <w:r>
        <w:rPr>
          <w:rFonts w:ascii="Times New Roman" w:hAnsi="Times New Roman" w:cs="Times New Roman"/>
          <w:sz w:val="28"/>
          <w:szCs w:val="28"/>
        </w:rPr>
        <w:t xml:space="preserve">Принятие данного проекта постановления Кабинета Министров Республики Татарстан не потребует выделения дополнительных финансовых средств из бюджета Республики Татарстан</w:t>
      </w:r>
      <w:bookmarkEnd w:id="5"/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none"/>
        </w:rPr>
      </w:r>
    </w:p>
    <w:p w14:paraId="06937C51">
      <w:pPr>
        <w:pBdr/>
        <w:spacing w:after="0" w:line="288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Необходимость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проведении оценки регулирующего воздействия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проекта постановления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Кабинета Министров Республики Татарстан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отсутствует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cs="Times New Roman"/>
          <w:sz w:val="28"/>
          <w:szCs w:val="28"/>
          <w:lang w:eastAsia="ru-RU"/>
          <w14:ligatures w14:val="none"/>
        </w:rPr>
      </w:r>
      <w:r>
        <w:rPr>
          <w:rFonts w:ascii="Times New Roman" w:hAnsi="Times New Roman" w:cs="Times New Roman"/>
          <w:sz w:val="28"/>
          <w:szCs w:val="28"/>
          <w:lang w:eastAsia="ru-RU"/>
          <w14:ligatures w14:val="none"/>
        </w:rPr>
      </w:r>
    </w:p>
    <w:p w14:paraId="15274D63">
      <w:pPr>
        <w:pBdr/>
        <w:spacing w:after="0" w:line="288" w:lineRule="auto"/>
        <w:ind w:right="0" w:firstLine="709" w:left="0"/>
        <w:jc w:val="both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 итогам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независимой антикоррупционной экспертизы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проекта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Кабинета Министров Республики Татарстан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заключений не поступало.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sectPr>
      <w:headerReference w:type="default" r:id="rId12"/>
      <w:footnotePr/>
      <w:endnotePr/>
      <w:type w:val="nextPage"/>
      <w:pgSz w:h="16838" w:orient="portrait" w:w="11906"/>
      <w:pgMar w:top="1134" w:right="567" w:bottom="1134" w:left="1134" w:header="708" w:footer="283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653103123"/>
      <w:docPartObj>
        <w:docPartGallery w:val="Page Numbers (Top of Page)"/>
        <w:docPartUnique w:val="true"/>
      </w:docPartObj>
      <w:rPr/>
    </w:sdtPr>
    <w:sdtContent>
      <w:p>
        <w:pPr>
          <w:pStyle w:val="965"/>
          <w:pBdr/>
          <w:spacing/>
          <w:ind/>
          <w:jc w:val="center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 xml:space="preserve">2</w:t>
        </w:r>
        <w:r>
          <w:fldChar w:fldCharType="end"/>
        </w:r>
        <w:r/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5"/>
      <w:pBdr/>
      <w:spacing/>
      <w:ind/>
      <w:jc w:val="center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5"/>
      <w:pBdr/>
      <w:spacing/>
      <w:ind/>
      <w:jc w:val="center"/>
      <w:rPr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434826797"/>
      <w:docPartObj>
        <w:docPartGallery w:val="Page Numbers (Top of Page)"/>
        <w:docPartUnique w:val="true"/>
      </w:docPartObj>
      <w:rPr/>
    </w:sdtPr>
    <w:sdtContent>
      <w:p>
        <w:pPr>
          <w:pStyle w:val="965"/>
          <w:pBdr/>
          <w:spacing/>
          <w:ind/>
          <w:jc w:val="center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 xml:space="preserve">2</w:t>
        </w:r>
        <w:r>
          <w:fldChar w:fldCharType="end"/>
        </w:r>
        <w:r/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520"/>
        </w:tabs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960"/>
        </w:tabs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680"/>
        </w:tabs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400"/>
        </w:tabs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6120"/>
        </w:tabs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840"/>
        </w:tabs>
        <w:spacing/>
        <w:ind w:hanging="180" w:left="684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1080"/>
        </w:tabs>
        <w:spacing/>
        <w:ind w:hanging="360" w:left="1080"/>
      </w:pPr>
      <w:rPr>
        <w:rFonts w:hint="default"/>
        <w:color w:val="auto"/>
      </w:rPr>
      <w:start w:val="1"/>
      <w:suff w:val="tab"/>
    </w:lvl>
    <w:lvl w:ilvl="1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2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3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4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5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6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7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  <w:lvl w:ilvl="8">
      <w:isLgl w:val="false"/>
      <w:lvlJc w:val="left"/>
      <w:lvlText w:val=""/>
      <w:numFmt w:val="none"/>
      <w:pPr>
        <w:pBdr/>
        <w:tabs>
          <w:tab w:val="num" w:leader="none" w:pos="-338"/>
        </w:tabs>
        <w:spacing/>
        <w:ind/>
      </w:pPr>
      <w:rPr/>
      <w:start w:val="0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2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108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24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6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8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40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12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4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6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8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009"/>
      </w:pPr>
      <w:rPr/>
      <w:start w:val="1"/>
      <w:suff w:val="tab"/>
    </w:lvl>
  </w:abstractNum>
  <w:abstractNum w:abstractNumId="6">
    <w:nsid w:val="1B951803"/>
    <w:lvl w:ilvl="0">
      <w:isLgl w:val="false"/>
      <w:lvlJc w:val="left"/>
      <w:lvlText w:val="%1."/>
      <w:numFmt w:val="decimal"/>
      <w:pPr>
        <w:pBdr/>
        <w:spacing/>
        <w:ind w:hanging="360" w:left="14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2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78"/>
      </w:pPr>
      <w:rPr/>
      <w:start w:val="1"/>
      <w:suff w:val="tab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7">
    <w:name w:val="Placeholder Text"/>
    <w:basedOn w:val="960"/>
    <w:uiPriority w:val="99"/>
    <w:semiHidden/>
    <w:pPr>
      <w:pBdr/>
      <w:spacing/>
      <w:ind/>
    </w:pPr>
    <w:rPr>
      <w:color w:val="666666"/>
    </w:rPr>
  </w:style>
  <w:style w:type="paragraph" w:styleId="778">
    <w:name w:val="toc 1"/>
    <w:basedOn w:val="959"/>
    <w:next w:val="959"/>
    <w:uiPriority w:val="39"/>
    <w:unhideWhenUsed/>
    <w:pPr>
      <w:pBdr/>
      <w:spacing w:after="100"/>
      <w:ind/>
    </w:pPr>
  </w:style>
  <w:style w:type="paragraph" w:styleId="779">
    <w:name w:val="toc 2"/>
    <w:basedOn w:val="959"/>
    <w:next w:val="959"/>
    <w:uiPriority w:val="39"/>
    <w:unhideWhenUsed/>
    <w:pPr>
      <w:pBdr/>
      <w:spacing w:after="100"/>
      <w:ind w:left="220"/>
    </w:pPr>
  </w:style>
  <w:style w:type="paragraph" w:styleId="780">
    <w:name w:val="toc 3"/>
    <w:basedOn w:val="959"/>
    <w:next w:val="959"/>
    <w:uiPriority w:val="39"/>
    <w:unhideWhenUsed/>
    <w:pPr>
      <w:pBdr/>
      <w:spacing w:after="100"/>
      <w:ind w:left="440"/>
    </w:pPr>
  </w:style>
  <w:style w:type="paragraph" w:styleId="781">
    <w:name w:val="toc 4"/>
    <w:basedOn w:val="959"/>
    <w:next w:val="959"/>
    <w:uiPriority w:val="39"/>
    <w:unhideWhenUsed/>
    <w:pPr>
      <w:pBdr/>
      <w:spacing w:after="100"/>
      <w:ind w:left="660"/>
    </w:pPr>
  </w:style>
  <w:style w:type="paragraph" w:styleId="782">
    <w:name w:val="toc 5"/>
    <w:basedOn w:val="959"/>
    <w:next w:val="959"/>
    <w:uiPriority w:val="39"/>
    <w:unhideWhenUsed/>
    <w:pPr>
      <w:pBdr/>
      <w:spacing w:after="100"/>
      <w:ind w:left="880"/>
    </w:pPr>
  </w:style>
  <w:style w:type="paragraph" w:styleId="783">
    <w:name w:val="toc 6"/>
    <w:basedOn w:val="959"/>
    <w:next w:val="959"/>
    <w:uiPriority w:val="39"/>
    <w:unhideWhenUsed/>
    <w:pPr>
      <w:pBdr/>
      <w:spacing w:after="100"/>
      <w:ind w:left="1100"/>
    </w:pPr>
  </w:style>
  <w:style w:type="paragraph" w:styleId="784">
    <w:name w:val="toc 7"/>
    <w:basedOn w:val="959"/>
    <w:next w:val="959"/>
    <w:uiPriority w:val="39"/>
    <w:unhideWhenUsed/>
    <w:pPr>
      <w:pBdr/>
      <w:spacing w:after="100"/>
      <w:ind w:left="1320"/>
    </w:pPr>
  </w:style>
  <w:style w:type="paragraph" w:styleId="785">
    <w:name w:val="toc 8"/>
    <w:basedOn w:val="959"/>
    <w:next w:val="959"/>
    <w:uiPriority w:val="39"/>
    <w:unhideWhenUsed/>
    <w:pPr>
      <w:pBdr/>
      <w:spacing w:after="100"/>
      <w:ind w:left="1540"/>
    </w:pPr>
  </w:style>
  <w:style w:type="paragraph" w:styleId="786">
    <w:name w:val="toc 9"/>
    <w:basedOn w:val="959"/>
    <w:next w:val="959"/>
    <w:uiPriority w:val="39"/>
    <w:unhideWhenUsed/>
    <w:pPr>
      <w:pBdr/>
      <w:spacing w:after="100"/>
      <w:ind w:left="1760"/>
    </w:pPr>
  </w:style>
  <w:style w:type="table" w:styleId="787">
    <w:name w:val="Table Grid Light"/>
    <w:basedOn w:val="96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Plain Table 1"/>
    <w:basedOn w:val="96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Plain Table 2"/>
    <w:basedOn w:val="96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Plain Table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Plain Table 4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Plain Table 5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1 Light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1 Light - Accent 1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1 Light - Accent 2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1 Light - Accent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1 Light - Accent 4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1 Light - Accent 5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1 Light - Accent 6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2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2 - Accent 1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2 - Accent 2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2 - Accent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2 - Accent 4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2 - Accent 5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2 - Accent 6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3 - Accent 1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3 - Accent 2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3 - Accent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3 - Accent 4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3 - Accent 5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3 - Accent 6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4"/>
    <w:basedOn w:val="9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4 - Accent 1"/>
    <w:basedOn w:val="9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4 - Accent 2"/>
    <w:basedOn w:val="9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4 - Accent 3"/>
    <w:basedOn w:val="9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4 - Accent 4"/>
    <w:basedOn w:val="9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4 - Accent 5"/>
    <w:basedOn w:val="9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4 - Accent 6"/>
    <w:basedOn w:val="9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5 Dark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5 Dark- Accent 1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5 Dark - Accent 2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5 Dark - Accent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5 Dark- Accent 4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5 Dark - Accent 5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5 Dark - Accent 6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6 Colorful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6 Colorful - Accent 1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6 Colorful - Accent 2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6 Colorful - Accent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6 Colorful - Accent 4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6 Colorful - Accent 5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6 Colorful - Accent 6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7 Colorful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7 Colorful - Accent 1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7 Colorful - Accent 2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7 Colorful - Accent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7 Colorful - Accent 4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7 Colorful - Accent 5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7 Colorful - Accent 6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1 Light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1 Light - Accent 1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1 Light - Accent 2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1 Light - Accent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1 Light - Accent 4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1 Light - Accent 5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1 Light - Accent 6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2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2 - Accent 1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2 - Accent 2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2 - Accent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2 - Accent 4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2 - Accent 5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2 - Accent 6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3 - Accent 1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3 - Accent 2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3 - Accent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3 - Accent 4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3 - Accent 5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3 - Accent 6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4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4 - Accent 1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4 - Accent 2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4 - Accent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4 - Accent 4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4 - Accent 5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4 - Accent 6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5 Dark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5 Dark - Accent 1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5 Dark - Accent 2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5 Dark - Accent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5 Dark - Accent 4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5 Dark - Accent 5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5 Dark - Accent 6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6 Colorful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6 Colorful - Accent 1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6 Colorful - Accent 2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6 Colorful - Accent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6 Colorful - Accent 4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6 Colorful - Accent 5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6 Colorful - Accent 6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7 Colorful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7 Colorful - Accent 1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7 Colorful - Accent 2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7 Colorful - Accent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7 Colorful - Accent 4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7 Colorful - Accent 5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7 Colorful - Accent 6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ned - Accent"/>
    <w:basedOn w:val="9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ned - Accent 1"/>
    <w:basedOn w:val="9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ned - Accent 2"/>
    <w:basedOn w:val="9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ned - Accent 3"/>
    <w:basedOn w:val="9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ned - Accent 4"/>
    <w:basedOn w:val="9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ned - Accent 5"/>
    <w:basedOn w:val="9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ned - Accent 6"/>
    <w:basedOn w:val="9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Bordered &amp; Lined - Accent"/>
    <w:basedOn w:val="9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Bordered &amp; Lined - Accent 1"/>
    <w:basedOn w:val="9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Bordered &amp; Lined - Accent 2"/>
    <w:basedOn w:val="9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Bordered &amp; Lined - Accent 3"/>
    <w:basedOn w:val="9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Bordered &amp; Lined - Accent 4"/>
    <w:basedOn w:val="9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Bordered &amp; Lined - Accent 5"/>
    <w:basedOn w:val="9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Bordered &amp; Lined - Accent 6"/>
    <w:basedOn w:val="9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Bordered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Bordered - Accent 1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Bordered - Accent 2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Bordered - Accent 3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Bordered - Accent 4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Bordered - Accent 5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Bordered - Accent 6"/>
    <w:basedOn w:val="9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2">
    <w:name w:val="Heading 1"/>
    <w:basedOn w:val="959"/>
    <w:next w:val="959"/>
    <w:link w:val="92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13">
    <w:name w:val="Heading 2"/>
    <w:basedOn w:val="959"/>
    <w:next w:val="959"/>
    <w:link w:val="92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14">
    <w:name w:val="Heading 3"/>
    <w:basedOn w:val="959"/>
    <w:next w:val="959"/>
    <w:link w:val="92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15">
    <w:name w:val="Heading 4"/>
    <w:basedOn w:val="959"/>
    <w:next w:val="959"/>
    <w:link w:val="92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16">
    <w:name w:val="Heading 5"/>
    <w:basedOn w:val="959"/>
    <w:next w:val="959"/>
    <w:link w:val="92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17">
    <w:name w:val="Heading 6"/>
    <w:basedOn w:val="959"/>
    <w:next w:val="959"/>
    <w:link w:val="92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18">
    <w:name w:val="Heading 7"/>
    <w:basedOn w:val="959"/>
    <w:next w:val="959"/>
    <w:link w:val="92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19">
    <w:name w:val="Heading 8"/>
    <w:basedOn w:val="959"/>
    <w:next w:val="959"/>
    <w:link w:val="92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20">
    <w:name w:val="Heading 9"/>
    <w:basedOn w:val="959"/>
    <w:next w:val="959"/>
    <w:link w:val="92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21">
    <w:name w:val="Heading 1 Char"/>
    <w:basedOn w:val="960"/>
    <w:link w:val="91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22">
    <w:name w:val="Heading 2 Char"/>
    <w:basedOn w:val="960"/>
    <w:link w:val="91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23">
    <w:name w:val="Heading 3 Char"/>
    <w:basedOn w:val="960"/>
    <w:link w:val="91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24">
    <w:name w:val="Heading 4 Char"/>
    <w:basedOn w:val="960"/>
    <w:link w:val="91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25">
    <w:name w:val="Heading 5 Char"/>
    <w:basedOn w:val="960"/>
    <w:link w:val="91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26">
    <w:name w:val="Heading 6 Char"/>
    <w:basedOn w:val="960"/>
    <w:link w:val="91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27">
    <w:name w:val="Heading 7 Char"/>
    <w:basedOn w:val="960"/>
    <w:link w:val="91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28">
    <w:name w:val="Heading 8 Char"/>
    <w:basedOn w:val="960"/>
    <w:link w:val="91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29">
    <w:name w:val="Heading 9 Char"/>
    <w:basedOn w:val="960"/>
    <w:link w:val="92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30">
    <w:name w:val="Title"/>
    <w:basedOn w:val="959"/>
    <w:next w:val="959"/>
    <w:link w:val="93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31">
    <w:name w:val="Title Char"/>
    <w:basedOn w:val="960"/>
    <w:link w:val="93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32">
    <w:name w:val="Subtitle"/>
    <w:basedOn w:val="959"/>
    <w:next w:val="959"/>
    <w:link w:val="93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33">
    <w:name w:val="Subtitle Char"/>
    <w:basedOn w:val="960"/>
    <w:link w:val="93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34">
    <w:name w:val="Quote"/>
    <w:basedOn w:val="959"/>
    <w:next w:val="959"/>
    <w:link w:val="93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35">
    <w:name w:val="Quote Char"/>
    <w:basedOn w:val="960"/>
    <w:link w:val="934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36">
    <w:name w:val="Intense Emphasis"/>
    <w:basedOn w:val="960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37">
    <w:name w:val="Intense Quote"/>
    <w:basedOn w:val="959"/>
    <w:next w:val="959"/>
    <w:link w:val="93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38">
    <w:name w:val="Intense Quote Char"/>
    <w:basedOn w:val="960"/>
    <w:link w:val="93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39">
    <w:name w:val="Intense Reference"/>
    <w:basedOn w:val="960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40">
    <w:name w:val="No Spacing"/>
    <w:basedOn w:val="959"/>
    <w:uiPriority w:val="1"/>
    <w:qFormat/>
    <w:pPr>
      <w:pBdr/>
      <w:spacing w:after="0" w:line="240" w:lineRule="auto"/>
      <w:ind/>
    </w:pPr>
  </w:style>
  <w:style w:type="character" w:styleId="941">
    <w:name w:val="Subtle Emphasis"/>
    <w:basedOn w:val="960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42">
    <w:name w:val="Emphasis"/>
    <w:basedOn w:val="960"/>
    <w:uiPriority w:val="20"/>
    <w:qFormat/>
    <w:pPr>
      <w:pBdr/>
      <w:spacing/>
      <w:ind/>
    </w:pPr>
    <w:rPr>
      <w:i/>
      <w:iCs/>
    </w:rPr>
  </w:style>
  <w:style w:type="character" w:styleId="943">
    <w:name w:val="Strong"/>
    <w:basedOn w:val="960"/>
    <w:uiPriority w:val="22"/>
    <w:qFormat/>
    <w:pPr>
      <w:pBdr/>
      <w:spacing/>
      <w:ind/>
    </w:pPr>
    <w:rPr>
      <w:b/>
      <w:bCs/>
    </w:rPr>
  </w:style>
  <w:style w:type="character" w:styleId="944">
    <w:name w:val="Subtle Reference"/>
    <w:basedOn w:val="960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45">
    <w:name w:val="Book Title"/>
    <w:basedOn w:val="960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46">
    <w:name w:val="Header Char"/>
    <w:basedOn w:val="960"/>
    <w:link w:val="965"/>
    <w:uiPriority w:val="99"/>
    <w:pPr>
      <w:pBdr/>
      <w:spacing/>
      <w:ind/>
    </w:pPr>
  </w:style>
  <w:style w:type="character" w:styleId="947">
    <w:name w:val="Footer Char"/>
    <w:basedOn w:val="960"/>
    <w:link w:val="967"/>
    <w:uiPriority w:val="99"/>
    <w:pPr>
      <w:pBdr/>
      <w:spacing/>
      <w:ind/>
    </w:pPr>
  </w:style>
  <w:style w:type="paragraph" w:styleId="948">
    <w:name w:val="Caption"/>
    <w:basedOn w:val="959"/>
    <w:next w:val="959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49">
    <w:name w:val="footnote text"/>
    <w:basedOn w:val="959"/>
    <w:link w:val="95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50">
    <w:name w:val="Footnote Text Char"/>
    <w:basedOn w:val="960"/>
    <w:link w:val="949"/>
    <w:uiPriority w:val="99"/>
    <w:semiHidden/>
    <w:pPr>
      <w:pBdr/>
      <w:spacing/>
      <w:ind/>
    </w:pPr>
    <w:rPr>
      <w:sz w:val="20"/>
      <w:szCs w:val="20"/>
    </w:rPr>
  </w:style>
  <w:style w:type="character" w:styleId="951">
    <w:name w:val="footnote reference"/>
    <w:basedOn w:val="960"/>
    <w:uiPriority w:val="99"/>
    <w:semiHidden/>
    <w:unhideWhenUsed/>
    <w:pPr>
      <w:pBdr/>
      <w:spacing/>
      <w:ind/>
    </w:pPr>
    <w:rPr>
      <w:vertAlign w:val="superscript"/>
    </w:rPr>
  </w:style>
  <w:style w:type="paragraph" w:styleId="952">
    <w:name w:val="endnote text"/>
    <w:basedOn w:val="959"/>
    <w:link w:val="95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53">
    <w:name w:val="Endnote Text Char"/>
    <w:basedOn w:val="960"/>
    <w:link w:val="952"/>
    <w:uiPriority w:val="99"/>
    <w:semiHidden/>
    <w:pPr>
      <w:pBdr/>
      <w:spacing/>
      <w:ind/>
    </w:pPr>
    <w:rPr>
      <w:sz w:val="20"/>
      <w:szCs w:val="20"/>
    </w:rPr>
  </w:style>
  <w:style w:type="character" w:styleId="954">
    <w:name w:val="endnote reference"/>
    <w:basedOn w:val="960"/>
    <w:uiPriority w:val="99"/>
    <w:semiHidden/>
    <w:unhideWhenUsed/>
    <w:pPr>
      <w:pBdr/>
      <w:spacing/>
      <w:ind/>
    </w:pPr>
    <w:rPr>
      <w:vertAlign w:val="superscript"/>
    </w:rPr>
  </w:style>
  <w:style w:type="character" w:styleId="955">
    <w:name w:val="Hyperlink"/>
    <w:basedOn w:val="960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56">
    <w:name w:val="FollowedHyperlink"/>
    <w:basedOn w:val="960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57">
    <w:name w:val="TOC Heading"/>
    <w:uiPriority w:val="39"/>
    <w:unhideWhenUsed/>
    <w:pPr>
      <w:pBdr/>
      <w:spacing/>
      <w:ind/>
    </w:pPr>
  </w:style>
  <w:style w:type="paragraph" w:styleId="958">
    <w:name w:val="table of figures"/>
    <w:basedOn w:val="959"/>
    <w:next w:val="959"/>
    <w:uiPriority w:val="99"/>
    <w:unhideWhenUsed/>
    <w:pPr>
      <w:pBdr/>
      <w:spacing w:after="0" w:afterAutospacing="0"/>
      <w:ind/>
    </w:pPr>
  </w:style>
  <w:style w:type="paragraph" w:styleId="959" w:default="1">
    <w:name w:val="Normal"/>
    <w:qFormat/>
    <w:pPr>
      <w:pBdr/>
      <w:spacing/>
      <w:ind/>
    </w:pPr>
    <w:rPr>
      <w:sz w:val="24"/>
      <w:szCs w:val="24"/>
    </w:rPr>
  </w:style>
  <w:style w:type="character" w:styleId="960" w:default="1">
    <w:name w:val="Default Paragraph Font"/>
    <w:uiPriority w:val="1"/>
    <w:semiHidden/>
    <w:unhideWhenUsed/>
    <w:pPr>
      <w:pBdr/>
      <w:spacing/>
      <w:ind/>
    </w:pPr>
  </w:style>
  <w:style w:type="table" w:styleId="96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62" w:default="1">
    <w:name w:val="No List"/>
    <w:uiPriority w:val="99"/>
    <w:semiHidden/>
    <w:unhideWhenUsed/>
    <w:pPr>
      <w:pBdr/>
      <w:spacing/>
      <w:ind/>
    </w:pPr>
  </w:style>
  <w:style w:type="paragraph" w:styleId="963" w:customStyle="1">
    <w:name w:val="ConsPlusNormal"/>
    <w:pPr>
      <w:widowControl w:val="false"/>
      <w:pBdr/>
      <w:spacing/>
      <w:ind w:firstLine="720"/>
    </w:pPr>
    <w:rPr>
      <w:rFonts w:ascii="Arial" w:hAnsi="Arial" w:cs="Arial"/>
    </w:rPr>
  </w:style>
  <w:style w:type="table" w:styleId="964">
    <w:name w:val="Table Grid"/>
    <w:basedOn w:val="961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65">
    <w:name w:val="Header"/>
    <w:basedOn w:val="959"/>
    <w:link w:val="966"/>
    <w:uiPriority w:val="99"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66" w:customStyle="1">
    <w:name w:val="Верхний колонтитул Знак"/>
    <w:link w:val="965"/>
    <w:uiPriority w:val="99"/>
    <w:pPr>
      <w:pBdr/>
      <w:spacing/>
      <w:ind/>
    </w:pPr>
    <w:rPr>
      <w:sz w:val="24"/>
      <w:szCs w:val="24"/>
    </w:rPr>
  </w:style>
  <w:style w:type="paragraph" w:styleId="967">
    <w:name w:val="Footer"/>
    <w:basedOn w:val="959"/>
    <w:link w:val="968"/>
    <w:uiPriority w:val="99"/>
    <w:pPr>
      <w:pBdr/>
      <w:tabs>
        <w:tab w:val="center" w:leader="none" w:pos="4677"/>
        <w:tab w:val="right" w:leader="none" w:pos="9355"/>
      </w:tabs>
      <w:spacing/>
      <w:ind/>
    </w:pPr>
  </w:style>
  <w:style w:type="character" w:styleId="968" w:customStyle="1">
    <w:name w:val="Нижний колонтитул Знак"/>
    <w:link w:val="967"/>
    <w:uiPriority w:val="99"/>
    <w:pPr>
      <w:pBdr/>
      <w:spacing/>
      <w:ind/>
    </w:pPr>
    <w:rPr>
      <w:sz w:val="24"/>
      <w:szCs w:val="24"/>
    </w:rPr>
  </w:style>
  <w:style w:type="character" w:styleId="969">
    <w:name w:val="line number"/>
    <w:basedOn w:val="960"/>
    <w:pPr>
      <w:pBdr/>
      <w:spacing/>
      <w:ind/>
    </w:pPr>
  </w:style>
  <w:style w:type="paragraph" w:styleId="970">
    <w:name w:val="Balloon Text"/>
    <w:basedOn w:val="959"/>
    <w:link w:val="971"/>
    <w:pPr>
      <w:pBdr/>
      <w:spacing/>
      <w:ind/>
    </w:pPr>
    <w:rPr>
      <w:rFonts w:ascii="Tahoma" w:hAnsi="Tahoma"/>
      <w:sz w:val="16"/>
      <w:szCs w:val="16"/>
    </w:rPr>
  </w:style>
  <w:style w:type="character" w:styleId="971" w:customStyle="1">
    <w:name w:val="Текст выноски Знак"/>
    <w:link w:val="970"/>
    <w:pPr>
      <w:pBdr/>
      <w:spacing/>
      <w:ind/>
    </w:pPr>
    <w:rPr>
      <w:rFonts w:ascii="Tahoma" w:hAnsi="Tahoma" w:cs="Tahoma"/>
      <w:sz w:val="16"/>
      <w:szCs w:val="16"/>
    </w:rPr>
  </w:style>
  <w:style w:type="character" w:styleId="972">
    <w:name w:val="annotation reference"/>
    <w:pPr>
      <w:pBdr/>
      <w:spacing/>
      <w:ind/>
    </w:pPr>
    <w:rPr>
      <w:sz w:val="16"/>
      <w:szCs w:val="16"/>
    </w:rPr>
  </w:style>
  <w:style w:type="paragraph" w:styleId="973">
    <w:name w:val="annotation text"/>
    <w:basedOn w:val="959"/>
    <w:link w:val="974"/>
    <w:pPr>
      <w:pBdr/>
      <w:spacing/>
      <w:ind/>
    </w:pPr>
    <w:rPr>
      <w:sz w:val="20"/>
      <w:szCs w:val="20"/>
    </w:rPr>
  </w:style>
  <w:style w:type="character" w:styleId="974" w:customStyle="1">
    <w:name w:val="Текст примечания Знак"/>
    <w:basedOn w:val="960"/>
    <w:link w:val="973"/>
    <w:pPr>
      <w:pBdr/>
      <w:spacing/>
      <w:ind/>
    </w:pPr>
  </w:style>
  <w:style w:type="paragraph" w:styleId="975">
    <w:name w:val="annotation subject"/>
    <w:basedOn w:val="973"/>
    <w:next w:val="973"/>
    <w:link w:val="976"/>
    <w:pPr>
      <w:pBdr/>
      <w:spacing/>
      <w:ind/>
    </w:pPr>
    <w:rPr>
      <w:b/>
      <w:bCs/>
    </w:rPr>
  </w:style>
  <w:style w:type="character" w:styleId="976" w:customStyle="1">
    <w:name w:val="Тема примечания Знак"/>
    <w:link w:val="975"/>
    <w:pPr>
      <w:pBdr/>
      <w:spacing/>
      <w:ind/>
    </w:pPr>
    <w:rPr>
      <w:b/>
      <w:bCs/>
    </w:rPr>
  </w:style>
  <w:style w:type="paragraph" w:styleId="977">
    <w:name w:val="List Paragraph"/>
    <w:basedOn w:val="959"/>
    <w:uiPriority w:val="34"/>
    <w:qFormat/>
    <w:pPr>
      <w:pBdr/>
      <w:spacing/>
      <w:ind w:left="720"/>
      <w:contextualSpacing w:val="true"/>
    </w:pPr>
  </w:style>
  <w:style w:type="paragraph" w:styleId="978" w:customStyle="1">
    <w:name w:val="Адресат"/>
    <w:basedOn w:val="860"/>
    <w:pPr>
      <w:keepNext w:val="false"/>
      <w:keepLines w:val="false"/>
      <w:pageBreakBefore w:val="false"/>
      <w:widowControl w:val="fals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60" w:beforeAutospacing="0" w:line="240" w:lineRule="auto"/>
      <w:ind w:right="0" w:firstLine="0" w:left="7258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customXml" Target="../customXml/item1.xml" /><Relationship Id="rId14" Type="http://schemas.openxmlformats.org/officeDocument/2006/relationships/hyperlink" Target="https://login.consultant.ru/link/?req=doc&amp;base=RLAW363&amp;n=192829&amp;dst=100019&amp;field=134&amp;date=02.07.2026" TargetMode="External"/><Relationship Id="rId15" Type="http://schemas.openxmlformats.org/officeDocument/2006/relationships/hyperlink" Target="https://login.consultant.ru/link/?req=doc&amp;base=RLAW363&amp;n=192829&amp;dst=100019&amp;field=134&amp;date=02.07.2026" TargetMode="External"/><Relationship Id="rId16" Type="http://schemas.openxmlformats.org/officeDocument/2006/relationships/hyperlink" Target="https://login.consultant.ru/link/?req=doc&amp;base=RLAW363&amp;n=192829&amp;dst=100019&amp;field=134&amp;date=02.07.2026" TargetMode="External"/><Relationship Id="rId17" Type="http://schemas.openxmlformats.org/officeDocument/2006/relationships/hyperlink" Target="https://login.consultant.ru/link/?req=doc&amp;base=RLAW363&amp;n=192829&amp;dst=100019&amp;field=134&amp;date=02.07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7618687C-3AB0-4303-8ABC-786A2FF11453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cesirt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ИСПОЛНИТЕЛЬНЫЙ КОМИТЕТ</dc:title>
  <dc:subject/>
  <dc:creator>Черникова Е.Е.</dc:creator>
  <cp:keywords/>
  <cp:revision>63</cp:revision>
  <dcterms:created xsi:type="dcterms:W3CDTF">2020-09-07T13:09:00Z</dcterms:created>
  <dcterms:modified xsi:type="dcterms:W3CDTF">2026-07-02T07:31:23Z</dcterms:modified>
</cp:coreProperties>
</file>