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52"/>
        <w:pBdr/>
        <w:spacing w:after="0" w:line="240" w:lineRule="auto"/>
        <w:ind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 МИНИСТРОВ РЕСПУБЛИКИ ТАТАРСТАН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240" w:lineRule="auto"/>
        <w: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«___» _______ 20</w:t>
      </w:r>
      <w:r>
        <w:rPr>
          <w:rFonts w:ascii="Times New Roman" w:hAnsi="Times New Roman"/>
          <w:sz w:val="28"/>
          <w:szCs w:val="28"/>
        </w:rPr>
        <w:t xml:space="preserve">26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ab/>
        <w:tab/>
        <w:tab/>
        <w:tab/>
        <w:tab/>
        <w:tab/>
        <w:tab/>
      </w:r>
      <w:r>
        <w:rPr>
          <w:rFonts w:ascii="Times New Roman" w:hAnsi="Times New Roman"/>
          <w:sz w:val="28"/>
          <w:szCs w:val="28"/>
        </w:rPr>
        <w:t xml:space="preserve">№ 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tabs>
          <w:tab w:val="left" w:leader="none" w:pos="851"/>
          <w:tab w:val="left" w:leader="none" w:pos="2127"/>
          <w:tab w:val="left" w:leader="none" w:pos="3544"/>
          <w:tab w:val="left" w:leader="none" w:pos="3686"/>
          <w:tab w:val="left" w:leader="none" w:pos="4394"/>
          <w:tab w:val="left" w:leader="none" w:pos="4535"/>
          <w:tab w:val="left" w:leader="none" w:pos="5103"/>
        </w:tabs>
        <w:spacing w:after="0" w:line="240" w:lineRule="auto"/>
        <w:ind w:right="5670" w:firstLine="0" w:left="0"/>
        <w:jc w:val="both"/>
        <w:rPr>
          <w:rFonts w:ascii="Times New Roman" w:hAnsi="Times New Roman"/>
          <w:sz w:val="28"/>
          <w:szCs w:val="28"/>
          <w:highlight w:val="cyan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внесении изменени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й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в </w:t>
      </w:r>
      <w:bookmarkStart w:id="1" w:name="_Hlk18594701"/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п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римерный перечень государственных услуг и работ, оказываемых и выполняемых государственными учрежден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иям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и и фин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ансируемых за счет средств бюджета Республики Татарстан, в разрезе видов учреждений и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отдельных государственных учреждений Республики Татарстан, утвержденный постановлением Кабинета Министров Республики Татарстан от 29.09.2015 </w:t>
        <w:br/>
        <w:t xml:space="preserve">№ 726</w:t>
      </w:r>
      <w:r>
        <w:rPr>
          <w:rFonts w:ascii="Times New Roman" w:hAnsi="Times New Roman"/>
          <w:sz w:val="28"/>
          <w:szCs w:val="28"/>
          <w:highlight w:val="cyan"/>
        </w:rPr>
      </w:r>
      <w:r>
        <w:rPr>
          <w:rFonts w:ascii="Times New Roman" w:hAnsi="Times New Roman"/>
          <w:sz w:val="28"/>
          <w:szCs w:val="28"/>
          <w:highlight w:val="cyan"/>
        </w:rPr>
      </w:r>
    </w:p>
    <w:p>
      <w:pPr>
        <w:pStyle w:val="952"/>
        <w:pBdr/>
        <w:spacing w:after="0" w:line="240" w:lineRule="auto"/>
        <w:ind/>
        <w:jc w:val="both"/>
        <w:rPr>
          <w:rFonts w:ascii="Times New Roman" w:hAnsi="Times New Roman"/>
          <w:sz w:val="28"/>
          <w:szCs w:val="28"/>
        </w:rPr>
      </w:pPr>
      <w:r/>
      <w:bookmarkEnd w:id="1"/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 Министров Республики Татарстан ПОСТАНОВЛЯЕТ: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334C5B53">
      <w:pPr>
        <w:pStyle w:val="952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Внести в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римерн</w:t>
      </w:r>
      <w:r>
        <w:rPr>
          <w:rFonts w:ascii="Times New Roman" w:hAnsi="Times New Roman"/>
          <w:sz w:val="28"/>
          <w:szCs w:val="28"/>
        </w:rPr>
        <w:t xml:space="preserve">ый</w:t>
      </w:r>
      <w:r>
        <w:rPr>
          <w:rFonts w:ascii="Times New Roman" w:hAnsi="Times New Roman"/>
          <w:sz w:val="28"/>
          <w:szCs w:val="28"/>
        </w:rPr>
        <w:t xml:space="preserve"> переч</w:t>
      </w:r>
      <w:r>
        <w:rPr>
          <w:rFonts w:ascii="Times New Roman" w:hAnsi="Times New Roman"/>
          <w:sz w:val="28"/>
          <w:szCs w:val="28"/>
        </w:rPr>
        <w:t xml:space="preserve">ень</w:t>
      </w:r>
      <w:r>
        <w:rPr>
          <w:rFonts w:ascii="Times New Roman" w:hAnsi="Times New Roman"/>
          <w:sz w:val="28"/>
          <w:szCs w:val="28"/>
        </w:rPr>
        <w:t xml:space="preserve"> государственных услуг и работ, оказываемых и выполняемых государственными учреждениями и финансируемых за счет средств бюджета Республики Татарстан, в разрезе видов учреждений и отдельных государственных учреждений Республики Татарстан, утвержденн</w:t>
      </w:r>
      <w:r>
        <w:rPr>
          <w:rFonts w:ascii="Times New Roman" w:hAnsi="Times New Roman"/>
          <w:sz w:val="28"/>
          <w:szCs w:val="28"/>
        </w:rPr>
        <w:t xml:space="preserve">ый</w:t>
      </w:r>
      <w:r>
        <w:rPr>
          <w:rFonts w:ascii="Times New Roman" w:hAnsi="Times New Roman"/>
          <w:sz w:val="28"/>
          <w:szCs w:val="28"/>
        </w:rPr>
        <w:t xml:space="preserve"> постановлением Кабинета Министров Республики Татарстан от 29.09.2015 № 726 «Об утверждении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римерного перечня государственных услуг и работ, оказываемых и выполняемых государственными учреждениями и финансируемых за счет средств бюджета Республики Татарстан, в разрезе видов учреждений и отдельных государственных учреждений Республики Татарстан»</w:t>
      </w:r>
      <w:r>
        <w:rPr>
          <w:rFonts w:ascii="Times New Roman" w:hAnsi="Times New Roman"/>
          <w:sz w:val="28"/>
          <w:szCs w:val="28"/>
        </w:rPr>
        <w:t xml:space="preserve"> (с изменениями, внесенными постановлениями Кабинета Министров Республики Татарстан от 25.12.2015 № 974, от 14.01.2016 № 12, от 02.11.2016 № 807, от 31.12.2016 № 1094, от 27.06.2017 № 441, от 27.11.2017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914, от 27.12.2017 № 1062, от 26.04.2018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296, от 26.11.2018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1053, от 13.12.2018</w:t>
        <w:br/>
        <w:t xml:space="preserve">№ 1128,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от 28.08.2019 № 732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07.</w:t>
      </w:r>
      <w:r>
        <w:rPr>
          <w:rFonts w:ascii="Times New Roman" w:hAnsi="Times New Roman"/>
          <w:sz w:val="28"/>
          <w:szCs w:val="28"/>
        </w:rPr>
        <w:t xml:space="preserve">10</w:t>
      </w:r>
      <w:r>
        <w:rPr>
          <w:rFonts w:ascii="Times New Roman" w:hAnsi="Times New Roman"/>
          <w:sz w:val="28"/>
          <w:szCs w:val="28"/>
        </w:rPr>
        <w:t xml:space="preserve">.2019 № 892</w:t>
      </w:r>
      <w:r>
        <w:rPr>
          <w:rFonts w:ascii="Times New Roman" w:hAnsi="Times New Roman"/>
          <w:sz w:val="28"/>
          <w:szCs w:val="28"/>
        </w:rPr>
        <w:t xml:space="preserve">,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от 30.12.2019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1248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15.05.2020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391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18.08.2020</w:t>
      </w:r>
      <w:r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 xml:space="preserve">704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25.09.2020</w:t>
      </w:r>
      <w:r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 xml:space="preserve">873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25.12.2020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1190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от 27.01.2021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26,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01.02.2021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45, от 21.07.2021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627, от 13.08.2021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719,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15.11.2021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1075, от 27.12.2021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1294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23.03.2022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260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10.05.2022</w:t>
        <w:br/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426, от 16.05.2022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449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03.08.2022 № 755</w:t>
      </w:r>
      <w:r>
        <w:rPr>
          <w:rFonts w:ascii="Times New Roman" w:hAnsi="Times New Roman"/>
          <w:sz w:val="28"/>
          <w:szCs w:val="28"/>
        </w:rPr>
        <w:t xml:space="preserve">, от </w:t>
      </w:r>
      <w:r>
        <w:rPr>
          <w:rFonts w:ascii="Times New Roman" w:hAnsi="Times New Roman"/>
          <w:sz w:val="28"/>
          <w:szCs w:val="28"/>
        </w:rPr>
        <w:t xml:space="preserve">18.11.2022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1233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27.01.2023 № 57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11.02.2023 № 140</w:t>
      </w:r>
      <w:r>
        <w:rPr>
          <w:rFonts w:ascii="Times New Roman" w:hAnsi="Times New Roman"/>
          <w:sz w:val="28"/>
          <w:szCs w:val="28"/>
        </w:rPr>
        <w:t xml:space="preserve">,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от 25.03.2023 № 351, от 18.04.2023 № 489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03.07.2023 № 773</w:t>
      </w:r>
      <w:r>
        <w:rPr>
          <w:rFonts w:ascii="Times New Roman" w:hAnsi="Times New Roman"/>
          <w:sz w:val="28"/>
          <w:szCs w:val="28"/>
        </w:rPr>
        <w:t xml:space="preserve">, от 24.08.2023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1010, от 23.10.2023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1337</w:t>
      </w:r>
      <w:r>
        <w:rPr>
          <w:rFonts w:ascii="Times New Roman" w:hAnsi="Times New Roman"/>
          <w:sz w:val="28"/>
          <w:szCs w:val="28"/>
        </w:rPr>
        <w:t xml:space="preserve">,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от 15.12.2023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  <w:t xml:space="preserve">№</w:t>
      </w:r>
      <w:r>
        <w:rPr>
          <w:rFonts w:ascii="Times New Roman" w:hAnsi="Times New Roman"/>
          <w:sz w:val="28"/>
          <w:szCs w:val="28"/>
        </w:rPr>
        <w:t xml:space="preserve"> 1628, от 29.01.2024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38</w:t>
      </w:r>
      <w:r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 xml:space="preserve">от 07.03.2024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128,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01.04.2024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211, от 25.04.2024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275, от 07.05.2024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309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19.07.2024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581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23.10.2024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917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highlight w:val="none"/>
        </w:rPr>
        <w:t xml:space="preserve">от 30.12.2024 № 1267</w:t>
      </w:r>
      <w:r>
        <w:rPr>
          <w:rFonts w:ascii="Times New Roman" w:hAnsi="Times New Roman"/>
          <w:sz w:val="28"/>
          <w:szCs w:val="28"/>
          <w:highlight w:val="none"/>
        </w:rPr>
        <w:t xml:space="preserve">,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от 26.05.2025 № 359, </w:t>
      </w:r>
      <w:r>
        <w:rPr>
          <w:rFonts w:ascii="Times New Roman" w:hAnsi="Times New Roman"/>
          <w:sz w:val="28"/>
          <w:szCs w:val="28"/>
          <w:highlight w:val="none"/>
        </w:rPr>
        <w:t xml:space="preserve">от 17.07.2025 № 523, от 25.12.2025 № 1148,</w:t>
      </w:r>
      <w:r>
        <w:rPr>
          <w:rFonts w:ascii="Times New Roman" w:hAnsi="Times New Roman"/>
          <w:sz w:val="28"/>
          <w:szCs w:val="28"/>
          <w:highlight w:val="none"/>
        </w:rPr>
        <w:br/>
        <w:t xml:space="preserve">от 30.12.2025 № 1220</w:t>
      </w:r>
      <w:r>
        <w:rPr>
          <w:rFonts w:ascii="Times New Roman" w:hAnsi="Times New Roman"/>
          <w:sz w:val="28"/>
          <w:szCs w:val="28"/>
          <w:highlight w:val="none"/>
        </w:rPr>
        <w:t xml:space="preserve">, от 17.03.2026 № 228, от 23.03.2026 № 263,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от 10.04.2026</w:t>
        <w:br/>
        <w:t xml:space="preserve">№ 388)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следующие изменени</w:t>
      </w:r>
      <w:r>
        <w:rPr>
          <w:rFonts w:ascii="Times New Roman" w:hAnsi="Times New Roman"/>
          <w:sz w:val="28"/>
          <w:szCs w:val="28"/>
        </w:rPr>
        <w:t xml:space="preserve">я: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57E00916">
      <w:pPr>
        <w:pStyle w:val="952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в </w:t>
      </w:r>
      <w:r>
        <w:rPr>
          <w:rFonts w:ascii="Times New Roman" w:hAnsi="Times New Roman"/>
          <w:sz w:val="28"/>
          <w:szCs w:val="28"/>
          <w:highlight w:val="none"/>
        </w:rPr>
        <w:t xml:space="preserve">пункте 17.6</w:t>
      </w:r>
      <w:r>
        <w:rPr>
          <w:rFonts w:ascii="Times New Roman" w:hAnsi="Times New Roman"/>
          <w:sz w:val="28"/>
          <w:szCs w:val="28"/>
          <w:highlight w:val="none"/>
        </w:rPr>
        <w:t xml:space="preserve">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6AD3FB5E">
      <w:pPr>
        <w:pStyle w:val="952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в графе 2</w:t>
      </w:r>
      <w:r>
        <w:rPr>
          <w:rFonts w:ascii="Times New Roman" w:hAnsi="Times New Roman"/>
          <w:sz w:val="28"/>
          <w:szCs w:val="28"/>
          <w:highlight w:val="none"/>
        </w:rPr>
        <w:t xml:space="preserve"> слова «</w:t>
      </w:r>
      <w:r>
        <w:rPr>
          <w:rFonts w:ascii="Times New Roman" w:hAnsi="Times New Roman"/>
          <w:sz w:val="28"/>
          <w:szCs w:val="28"/>
          <w:highlight w:val="none"/>
        </w:rPr>
        <w:t xml:space="preserve">750000Р.16.1.ЖХ92АА86000</w:t>
      </w:r>
      <w:r>
        <w:rPr>
          <w:rFonts w:ascii="Times New Roman" w:hAnsi="Times New Roman"/>
          <w:sz w:val="28"/>
          <w:szCs w:val="28"/>
          <w:highlight w:val="none"/>
        </w:rPr>
        <w:t xml:space="preserve">» заменить словами «</w:t>
      </w:r>
      <w:r>
        <w:rPr>
          <w:rFonts w:ascii="Times New Roman" w:hAnsi="Times New Roman"/>
          <w:sz w:val="28"/>
          <w:szCs w:val="28"/>
          <w:highlight w:val="none"/>
        </w:rPr>
        <w:t xml:space="preserve">750000Р.16.1.ЖХ27АА86000</w:t>
      </w:r>
      <w:r>
        <w:rPr>
          <w:rFonts w:ascii="Times New Roman" w:hAnsi="Times New Roman"/>
          <w:sz w:val="28"/>
          <w:szCs w:val="28"/>
          <w:highlight w:val="none"/>
        </w:rPr>
        <w:t xml:space="preserve">»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729DF794">
      <w:pPr>
        <w:pStyle w:val="952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дополнить строками следующего содержания</w:t>
      </w:r>
      <w:r>
        <w:rPr>
          <w:rFonts w:ascii="Times New Roman" w:hAnsi="Times New Roman"/>
          <w:sz w:val="28"/>
          <w:szCs w:val="28"/>
          <w:highlight w:val="none"/>
        </w:rPr>
        <w:t xml:space="preserve">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25D41ADF">
      <w:pPr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tbl>
      <w:tblPr>
        <w:tblStyle w:val="765"/>
        <w:tblInd w:w="15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76"/>
        <w:gridCol w:w="1183"/>
        <w:gridCol w:w="992"/>
        <w:gridCol w:w="1417"/>
        <w:gridCol w:w="850"/>
        <w:gridCol w:w="1417"/>
        <w:gridCol w:w="850"/>
        <w:gridCol w:w="709"/>
        <w:gridCol w:w="1559"/>
        <w:gridCol w:w="993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76" w:type="dxa"/>
            <w:vAlign w:val="top"/>
            <w:vMerge w:val="restart"/>
          </w:tcPr>
          <w:p w14:paraId="30F988F5">
            <w:pPr>
              <w:pBdr/>
              <w:spacing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83" w:type="dxa"/>
            <w:vAlign w:val="top"/>
            <w:vMerge w:val="restart"/>
          </w:tcPr>
          <w:p w14:paraId="52F03B8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«750000Р.16.1.ЖХ99АА99000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top"/>
            <w:vMerge w:val="restart"/>
          </w:tcPr>
          <w:p w14:paraId="587F147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работа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top"/>
            <w:vMerge w:val="restart"/>
          </w:tcPr>
          <w:p w14:paraId="749CD36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выполнение геодезических и картографических работ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top"/>
            <w:vMerge w:val="restart"/>
          </w:tcPr>
          <w:p w14:paraId="18C7C49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top"/>
            <w:vMerge w:val="restart"/>
          </w:tcPr>
          <w:p w14:paraId="6C57D5B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top"/>
            <w:vMerge w:val="restart"/>
          </w:tcPr>
          <w:p w14:paraId="10AD34E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709" w:type="dxa"/>
            <w:vAlign w:val="top"/>
            <w:vMerge w:val="restart"/>
          </w:tcPr>
          <w:p w14:paraId="5A8E61C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559" w:type="dxa"/>
            <w:vAlign w:val="top"/>
            <w:vMerge w:val="restart"/>
          </w:tcPr>
          <w:p w14:paraId="3426890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жилищно-коммунальное хозяйство, благоустройство, градостроительная деятельность, строительство и архитектура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3" w:type="dxa"/>
            <w:vAlign w:val="top"/>
            <w:vMerge w:val="restart"/>
          </w:tcPr>
          <w:p w14:paraId="27D041E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выбор из РПУР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76" w:type="dxa"/>
            <w:vAlign w:val="top"/>
          </w:tcPr>
          <w:p w14:paraId="3C3A247B">
            <w:pPr>
              <w:pBdr/>
              <w:spacing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83" w:type="dxa"/>
            <w:vAlign w:val="top"/>
          </w:tcPr>
          <w:p w14:paraId="310C083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750000Р.16.1.ЖХ98АА98000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top"/>
          </w:tcPr>
          <w:p w14:paraId="35CD9B8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работа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top"/>
          </w:tcPr>
          <w:p w14:paraId="4C49BA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подготовка проекта местных нормативов градостроительного проектирования поселения, муниципального района, городского округа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top"/>
          </w:tcPr>
          <w:p w14:paraId="3CFB07C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top"/>
          </w:tcPr>
          <w:p w14:paraId="05F9080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top"/>
          </w:tcPr>
          <w:p w14:paraId="3B96845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709" w:type="dxa"/>
            <w:vAlign w:val="top"/>
          </w:tcPr>
          <w:p w14:paraId="14A898E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559" w:type="dxa"/>
            <w:vAlign w:val="top"/>
          </w:tcPr>
          <w:p w14:paraId="796A958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жилищно-коммунальное хозяйство, благоустройство, градостроительная деятельность, строительство и архитектура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3" w:type="dxa"/>
            <w:vAlign w:val="top"/>
          </w:tcPr>
          <w:p w14:paraId="73E30AA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выбор из РПУР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76" w:type="dxa"/>
            <w:vAlign w:val="top"/>
            <w:vMerge w:val="restart"/>
          </w:tcPr>
          <w:p w14:paraId="0B4C8E89">
            <w:pPr>
              <w:pBdr/>
              <w:spacing w:line="240" w:lineRule="auto"/>
              <w:ind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83" w:type="dxa"/>
            <w:vAlign w:val="top"/>
            <w:vMerge w:val="restart"/>
          </w:tcPr>
          <w:p w14:paraId="5984A98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750000Р.16.1.ЖХ25АА25000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Align w:val="top"/>
            <w:vMerge w:val="restart"/>
          </w:tcPr>
          <w:p w14:paraId="1207B58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работа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top"/>
            <w:vMerge w:val="restart"/>
          </w:tcPr>
          <w:p w14:paraId="20992FC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разработка и корректировка проектов комплексных схем инженерного обеспечения территорий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top"/>
            <w:vMerge w:val="restart"/>
          </w:tcPr>
          <w:p w14:paraId="58DD0C7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содержание работы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top"/>
            <w:vMerge w:val="restart"/>
          </w:tcPr>
          <w:p w14:paraId="537FBBF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одготовка описания существующего и планируемого размещения сетей инженерно-технического обеспечения и иных технологически связанных с ними объектов капитального строительства и некапитальных сооружений на территории, на которой планируется осуществлять стр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оительство объектов капитального строительства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top"/>
            <w:vMerge w:val="restart"/>
          </w:tcPr>
          <w:p w14:paraId="428EDC7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форма </w:t>
            </w:r>
            <w:r/>
          </w:p>
          <w:p w14:paraId="679077D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выполнения работы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709" w:type="dxa"/>
            <w:vAlign w:val="top"/>
            <w:vMerge w:val="restart"/>
          </w:tcPr>
          <w:p w14:paraId="552DDCC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постоянно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559" w:type="dxa"/>
            <w:vAlign w:val="top"/>
            <w:vMerge w:val="restart"/>
          </w:tcPr>
          <w:p w14:paraId="54F552C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жилищно-коммунальное хозяйство, благоустройство, градостроительная деятельность, строительство и архитектура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993" w:type="dxa"/>
            <w:vAlign w:val="top"/>
            <w:vMerge w:val="restart"/>
          </w:tcPr>
          <w:p w14:paraId="7335545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выбор из РПУР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».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 w14:paraId="74DB7F41">
      <w:pPr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089B6A7F">
      <w:pPr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40F7413A">
      <w:pPr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52"/>
        <w:pBdr/>
        <w:spacing w:after="0" w:line="240" w:lineRule="auto"/>
        <w:ind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Премьер-министр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240" w:lineRule="auto"/>
        <w:ind/>
        <w:jc w:val="both"/>
        <w:rPr>
          <w:rFonts w:ascii="Times New Roman" w:hAnsi="Times New Roman"/>
          <w:sz w:val="28"/>
          <w:szCs w:val="28"/>
        </w:rPr>
        <w:sectPr>
          <w:headerReference w:type="default" r:id="rId9"/>
          <w:headerReference w:type="first" r:id="rId10"/>
          <w:footnotePr/>
          <w:endnotePr/>
          <w:type w:val="nextPage"/>
          <w:pgSz w:h="16838" w:orient="portrait" w:w="11906"/>
          <w:pgMar w:top="1134" w:right="567" w:bottom="1134" w:left="1134" w:header="709" w:footer="130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А.В Песошин</w:t>
      </w:r>
      <w:r>
        <w:rPr>
          <w:rFonts w:ascii="Times New Roman" w:hAnsi="Times New Roman"/>
          <w:sz w:val="28"/>
          <w:szCs w:val="28"/>
        </w:rPr>
        <w:tab/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30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ПОЯСНИТЕЛЬНАЯ ЗАПИСКА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952"/>
        <w:pBdr/>
        <w:spacing w:after="0" w:line="30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постановления Кабинета Министров Республики Татарстан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952"/>
        <w:pBdr/>
        <w:spacing w:after="0" w:line="300" w:lineRule="auto"/>
        <w:ind/>
        <w:contextualSpacing w:val="tru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 внесении изменени</w:t>
      </w:r>
      <w:r>
        <w:rPr>
          <w:rFonts w:ascii="Times New Roman" w:hAnsi="Times New Roman"/>
          <w:b/>
          <w:sz w:val="28"/>
          <w:szCs w:val="28"/>
        </w:rPr>
        <w:t xml:space="preserve">й</w:t>
      </w:r>
      <w:r>
        <w:rPr>
          <w:rFonts w:ascii="Times New Roman" w:hAnsi="Times New Roman"/>
          <w:b/>
          <w:sz w:val="28"/>
          <w:szCs w:val="28"/>
        </w:rPr>
        <w:t xml:space="preserve"> в </w:t>
      </w:r>
      <w:r>
        <w:rPr>
          <w:rFonts w:ascii="Times New Roman" w:hAnsi="Times New Roman"/>
          <w:b/>
          <w:sz w:val="28"/>
          <w:szCs w:val="28"/>
        </w:rPr>
        <w:t xml:space="preserve">п</w:t>
      </w:r>
      <w:r>
        <w:rPr>
          <w:rFonts w:ascii="Times New Roman" w:hAnsi="Times New Roman"/>
          <w:b/>
          <w:sz w:val="28"/>
          <w:szCs w:val="28"/>
        </w:rPr>
        <w:t xml:space="preserve">римерный перечень государственных услуг и работ, оказываемых и выполняемых государственными учреждениям</w:t>
      </w:r>
      <w:r>
        <w:rPr>
          <w:rFonts w:ascii="Times New Roman" w:hAnsi="Times New Roman"/>
          <w:b/>
          <w:sz w:val="28"/>
          <w:szCs w:val="28"/>
        </w:rPr>
        <w:t xml:space="preserve">и и финансируемых за счет средств бюджета Республики Татарстан, в разрезе видов учреждений и отдельных государственных учреждений Республики Татарстан, утвержденный постановлением Кабинета Министров Республики Татарстан от 29.09.2015 № 726</w:t>
      </w:r>
      <w:r>
        <w:rPr>
          <w:rFonts w:ascii="Times New Roman" w:hAnsi="Times New Roman"/>
          <w:b/>
          <w:sz w:val="28"/>
          <w:szCs w:val="28"/>
        </w:rPr>
        <w:t xml:space="preserve">»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952"/>
        <w:pBdr/>
        <w:spacing w:after="0" w:line="300" w:lineRule="auto"/>
        <w:ind/>
        <w:jc w:val="center"/>
        <w:rPr>
          <w:rFonts w:ascii="Times New Roman" w:hAnsi="Times New Roman"/>
          <w:b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</w:p>
    <w:p w14:paraId="60881337">
      <w:pPr>
        <w:pStyle w:val="952"/>
        <w:pBdr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Проект постановления Кабинета Министров Республики Татарстан «О внесении изменени</w:t>
      </w:r>
      <w:r>
        <w:rPr>
          <w:rFonts w:ascii="Times New Roman" w:hAnsi="Times New Roman"/>
          <w:sz w:val="28"/>
          <w:szCs w:val="28"/>
          <w:highlight w:val="none"/>
        </w:rPr>
        <w:t xml:space="preserve">й</w:t>
      </w:r>
      <w:r>
        <w:rPr>
          <w:rFonts w:ascii="Times New Roman" w:hAnsi="Times New Roman"/>
          <w:sz w:val="28"/>
          <w:szCs w:val="28"/>
          <w:highlight w:val="none"/>
        </w:rPr>
        <w:t xml:space="preserve"> в </w:t>
      </w:r>
      <w:r>
        <w:rPr>
          <w:rFonts w:ascii="Times New Roman" w:hAnsi="Times New Roman"/>
          <w:sz w:val="28"/>
          <w:szCs w:val="28"/>
          <w:highlight w:val="none"/>
        </w:rPr>
        <w:t xml:space="preserve">п</w:t>
      </w:r>
      <w:r>
        <w:rPr>
          <w:rFonts w:ascii="Times New Roman" w:hAnsi="Times New Roman"/>
          <w:sz w:val="28"/>
          <w:szCs w:val="28"/>
          <w:highlight w:val="none"/>
        </w:rPr>
        <w:t xml:space="preserve">римерный перечень государственных услуг и работ, оказываемых и выполняемых государственными учреждениям</w:t>
      </w:r>
      <w:r>
        <w:rPr>
          <w:rFonts w:ascii="Times New Roman" w:hAnsi="Times New Roman"/>
          <w:sz w:val="28"/>
          <w:szCs w:val="28"/>
          <w:highlight w:val="none"/>
        </w:rPr>
        <w:t xml:space="preserve">и и финансируемых за счет средств бюджета Республики Татарстан, в разрезе видов учреждений и отдельных государственных учреждений Республики Татарстан, утвержденный постановлением Кабинета Министров Республики Татарстан от 29.09.2015 № 726</w:t>
      </w:r>
      <w:r>
        <w:rPr>
          <w:rFonts w:ascii="Times New Roman" w:hAnsi="Times New Roman"/>
          <w:sz w:val="28"/>
          <w:szCs w:val="28"/>
          <w:highlight w:val="none"/>
        </w:rPr>
        <w:t xml:space="preserve">»</w:t>
      </w:r>
      <w:r>
        <w:rPr>
          <w:rFonts w:ascii="Times New Roman" w:hAnsi="Times New Roman"/>
          <w:sz w:val="28"/>
          <w:szCs w:val="28"/>
          <w:highlight w:val="none"/>
        </w:rPr>
        <w:t xml:space="preserve"> (далее – Примерный перечень)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разработан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государственным бюджетным учреждением «Центр экономических и социальных исследований Республики Татарстан при Кабинете Министров Республики Татарстан»</w:t>
      </w:r>
      <w:r>
        <w:rPr>
          <w:rFonts w:ascii="Times New Roman" w:hAnsi="Times New Roman"/>
          <w:sz w:val="28"/>
          <w:szCs w:val="28"/>
          <w:highlight w:val="none"/>
        </w:rPr>
        <w:t xml:space="preserve">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2C2803E0">
      <w:pPr>
        <w:pStyle w:val="952"/>
        <w:pBdr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в соответствии с обращением </w:t>
      </w:r>
      <w:r>
        <w:rPr>
          <w:rFonts w:ascii="Times New Roman" w:hAnsi="Times New Roman"/>
          <w:sz w:val="28"/>
          <w:szCs w:val="28"/>
          <w:highlight w:val="none"/>
        </w:rPr>
        <w:t xml:space="preserve">Министерства строительства, архитектуры и жилищно-коммунального хозяйства Республики Татарстан</w:t>
      </w:r>
      <w:r>
        <w:rPr>
          <w:rFonts w:ascii="Times New Roman" w:hAnsi="Times New Roman"/>
          <w:sz w:val="28"/>
          <w:szCs w:val="28"/>
          <w:highlight w:val="none"/>
        </w:rPr>
        <w:t xml:space="preserve"> от 25.02.2026</w:t>
        <w:br/>
        <w:t xml:space="preserve">№ </w:t>
      </w:r>
      <w:r>
        <w:rPr>
          <w:rFonts w:ascii="Times New Roman" w:hAnsi="Times New Roman"/>
          <w:sz w:val="28"/>
          <w:szCs w:val="28"/>
          <w:highlight w:val="none"/>
        </w:rPr>
        <w:t xml:space="preserve">01-09-4635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по вопросу дополнения новыми работами государственное задание государственного</w:t>
      </w:r>
      <w:r>
        <w:rPr>
          <w:rFonts w:ascii="Times New Roman" w:hAnsi="Times New Roman"/>
          <w:sz w:val="28"/>
          <w:szCs w:val="28"/>
          <w:highlight w:val="none"/>
        </w:rPr>
        <w:t xml:space="preserve"> бюджетного учреждения «Институт пространственного планирования Республики Татарстан»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в </w:t>
      </w:r>
      <w:r>
        <w:rPr>
          <w:rFonts w:ascii="Times New Roman" w:hAnsi="Times New Roman"/>
          <w:sz w:val="28"/>
          <w:szCs w:val="28"/>
          <w:highlight w:val="none"/>
        </w:rPr>
        <w:t xml:space="preserve">соответствии с постановлением Кабинета Министров Республики Татарстан от 29.12.2023 № 1743 «О мерах по реализации Закона Республики Татарстан от 23 декабря 2023 года № 131-ЗРТ «О перераспределении полномочий между органами местного самоуправления муниципал</w:t>
      </w:r>
      <w:r>
        <w:rPr>
          <w:rFonts w:ascii="Times New Roman" w:hAnsi="Times New Roman"/>
          <w:sz w:val="28"/>
          <w:szCs w:val="28"/>
          <w:highlight w:val="none"/>
        </w:rPr>
        <w:t xml:space="preserve">ьных образований Республики Татарстан и органами государственной власти Республики Татарстан в области градостроительной деятельности»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432F7398">
      <w:pPr>
        <w:pStyle w:val="952"/>
        <w:pBdr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в соответствии с обращением </w:t>
      </w:r>
      <w:r>
        <w:rPr>
          <w:rFonts w:ascii="Times New Roman" w:hAnsi="Times New Roman"/>
          <w:sz w:val="28"/>
          <w:szCs w:val="28"/>
          <w:highlight w:val="none"/>
        </w:rPr>
        <w:t xml:space="preserve">Министерства строительства, архитектуры и жилищно-коммунального хозяйства Республики Татарстан</w:t>
      </w:r>
      <w:r>
        <w:rPr>
          <w:rFonts w:ascii="Times New Roman" w:hAnsi="Times New Roman"/>
          <w:sz w:val="28"/>
          <w:szCs w:val="28"/>
          <w:highlight w:val="none"/>
        </w:rPr>
        <w:t xml:space="preserve"> от </w:t>
      </w:r>
      <w:r>
        <w:rPr>
          <w:rFonts w:ascii="Times New Roman" w:hAnsi="Times New Roman"/>
          <w:sz w:val="28"/>
          <w:szCs w:val="28"/>
          <w:highlight w:val="none"/>
        </w:rPr>
        <w:t xml:space="preserve">15.06.2026</w:t>
      </w:r>
      <w:r>
        <w:rPr>
          <w:rFonts w:ascii="Times New Roman" w:hAnsi="Times New Roman"/>
          <w:sz w:val="28"/>
          <w:szCs w:val="28"/>
          <w:highlight w:val="none"/>
        </w:rPr>
        <w:br/>
        <w:t xml:space="preserve">№ </w:t>
      </w:r>
      <w:r>
        <w:rPr>
          <w:rFonts w:ascii="Times New Roman" w:hAnsi="Times New Roman"/>
          <w:sz w:val="28"/>
          <w:szCs w:val="28"/>
          <w:highlight w:val="none"/>
        </w:rPr>
        <w:t xml:space="preserve">01-09-13860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по вопросу дополнения нов</w:t>
      </w:r>
      <w:r>
        <w:rPr>
          <w:rFonts w:ascii="Times New Roman" w:hAnsi="Times New Roman"/>
          <w:sz w:val="28"/>
          <w:szCs w:val="28"/>
          <w:highlight w:val="none"/>
        </w:rPr>
        <w:t xml:space="preserve">ой работой государственное задание государственного бюджетного учреждения «Институт пространственного планирования Республики Татарстан»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в рамках реализации </w:t>
      </w:r>
      <w:r>
        <w:rPr>
          <w:rFonts w:ascii="Times New Roman" w:hAnsi="Times New Roman"/>
          <w:sz w:val="28"/>
          <w:szCs w:val="28"/>
          <w:highlight w:val="none"/>
        </w:rPr>
        <w:t xml:space="preserve">постановления Правительства Российской Федерации от 15 декабря 2021 г. № 2303 «Об утверждении содержания комплексной схемы инженерного обеспечения территории и Правил разработки, согласования и утверждения комплексной схемы инженерного обеспечения территор</w:t>
      </w:r>
      <w:r>
        <w:rPr>
          <w:rFonts w:ascii="Times New Roman" w:hAnsi="Times New Roman"/>
          <w:sz w:val="28"/>
          <w:szCs w:val="28"/>
          <w:highlight w:val="none"/>
        </w:rPr>
        <w:t xml:space="preserve">ии»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341988CB">
      <w:pPr>
        <w:pStyle w:val="952"/>
        <w:pBdr/>
        <w:spacing w:after="0" w:line="30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в рамках приведения в соответствие </w:t>
      </w:r>
      <w:r>
        <w:rPr>
          <w:rFonts w:ascii="Times New Roman" w:hAnsi="Times New Roman"/>
          <w:sz w:val="28"/>
          <w:szCs w:val="28"/>
          <w:highlight w:val="none"/>
        </w:rPr>
        <w:t xml:space="preserve">ре</w:t>
      </w:r>
      <w:r>
        <w:rPr>
          <w:rFonts w:ascii="Times New Roman" w:hAnsi="Times New Roman"/>
          <w:sz w:val="28"/>
          <w:szCs w:val="28"/>
          <w:highlight w:val="none"/>
        </w:rPr>
        <w:t xml:space="preserve">гиональному перечню (классификатору)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оказание и выполнение которых предусмотрено нормативным</w:t>
      </w:r>
      <w:r>
        <w:rPr>
          <w:rFonts w:ascii="Times New Roman" w:hAnsi="Times New Roman"/>
          <w:sz w:val="28"/>
          <w:szCs w:val="28"/>
          <w:highlight w:val="none"/>
        </w:rPr>
        <w:t xml:space="preserve">и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правовыми актами Республики Татарстан (муниципальными правовыми актами), в том числе при осуществлении переданных полномочий Российской Федерации и полномочий по предметам совместного ведения Российской Федерации и Республики Татарстан, утвержденному поста</w:t>
      </w:r>
      <w:r>
        <w:rPr>
          <w:rFonts w:ascii="Times New Roman" w:hAnsi="Times New Roman"/>
          <w:sz w:val="28"/>
          <w:szCs w:val="28"/>
          <w:highlight w:val="none"/>
        </w:rPr>
        <w:t xml:space="preserve">новлением Кабинета Министров Республики Татарстан от 24.12.2018 № 1214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(с изм. от 25.04.2026 № 520, </w:t>
      </w:r>
      <w:r/>
      <w:r>
        <w:rPr>
          <w:rFonts w:ascii="Times New Roman" w:hAnsi="Times New Roman"/>
          <w:sz w:val="28"/>
          <w:szCs w:val="28"/>
          <w:highlight w:val="none"/>
        </w:rPr>
        <w:t xml:space="preserve">соответствующий проект постановления находится на межведомственном согласовании </w:t>
      </w:r>
      <w:r>
        <w:rPr>
          <w:rFonts w:ascii="Times New Roman" w:hAnsi="Times New Roman"/>
          <w:sz w:val="28"/>
          <w:szCs w:val="28"/>
          <w:highlight w:val="none"/>
        </w:rPr>
        <w:t xml:space="preserve">от 24.06.2026</w:t>
      </w:r>
      <w:r>
        <w:rPr>
          <w:rFonts w:ascii="Times New Roman" w:hAnsi="Times New Roman"/>
          <w:sz w:val="28"/>
          <w:szCs w:val="28"/>
          <w:highlight w:val="none"/>
        </w:rPr>
        <w:t xml:space="preserve"> № согл-21044986-2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1238524E">
      <w:pPr>
        <w:pStyle w:val="952"/>
        <w:pBdr/>
        <w:spacing w:after="0" w:line="30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Проектом постановления внос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тся изменения в части: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 w14:paraId="0F4B81D8">
      <w:pPr>
        <w:pStyle w:val="952"/>
        <w:pBdr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дополнения пункта 17.6 Примерного перечня государственными работами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по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подготовке проекта местных нормативов градостроительного проектирования поселения, муниципального района, городского округа,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выполнению геодезических и картографических работ,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разработке и корректировке проектов комплексных схем инженерного обеспечения территорий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72D3EA2A">
      <w:pPr>
        <w:pStyle w:val="952"/>
        <w:pBdr/>
        <w:spacing w:after="0" w:line="300" w:lineRule="auto"/>
        <w:ind w:firstLine="709"/>
        <w:jc w:val="both"/>
        <w:rPr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корректировки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уникального номера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государственной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работы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разработка проектов программ комплексного развития коммунальной, социальной, транспортной инфраструктуры»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в пункте 17.6 в целях исключения дублирования кодов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работ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pStyle w:val="952"/>
        <w:pBdr/>
        <w:spacing w:after="0" w:line="30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  <w:highlight w:val="none"/>
        </w:rPr>
        <w:t xml:space="preserve">Принятие данного проекта постановления не потребует выделения дополнительных средств из бюджета Республики Татарстан.</w:t>
      </w:r>
      <w:r/>
    </w:p>
    <w:p>
      <w:pPr>
        <w:pStyle w:val="952"/>
        <w:pBdr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Необходимость в проведении оценки регулирующего воздействия проекта постановления Кабинета Министров Республики Татарстан</w:t>
      </w:r>
      <w:r>
        <w:rPr>
          <w:rFonts w:ascii="Times New Roman" w:hAnsi="Times New Roman"/>
          <w:sz w:val="28"/>
          <w:szCs w:val="28"/>
          <w:highlight w:val="none"/>
        </w:rPr>
        <w:t xml:space="preserve"> отсутствует</w:t>
      </w:r>
      <w:r>
        <w:rPr>
          <w:rFonts w:ascii="Times New Roman" w:hAnsi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2"/>
        <w:pBdr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567" w:bottom="1134" w:left="1418" w:header="709" w:footer="13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9"/>
      <w:pBdr/>
      <w:spacing/>
      <w:ind/>
      <w:jc w:val="center"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9"/>
      <w:pBdr/>
      <w:spacing/>
      <w:ind/>
      <w:jc w:val="center"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92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92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78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44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180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252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288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360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432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468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5400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360" w:left="92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1">
    <w:lvl w:ilvl="0">
      <w:isLgl w:val="false"/>
      <w:lvlJc w:val="left"/>
      <w:lvlText w:val="%1"/>
      <w:numFmt w:val="decimal"/>
      <w:pPr>
        <w:pBdr/>
        <w:spacing/>
        <w:ind w:hanging="360" w:left="1211"/>
      </w:pPr>
      <w:rPr/>
      <w:start w:val="3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12"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3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6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7"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8">
    <w:lvl w:ilvl="0">
      <w:isLgl w:val="false"/>
      <w:lvlJc w:val="left"/>
      <w:lvlText w:val="%1."/>
      <w:numFmt w:val="decimal"/>
      <w:pPr>
        <w:pBdr/>
        <w:spacing/>
        <w:ind w:hanging="360" w:left="108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3"/>
  </w:num>
  <w:num w:numId="5">
    <w:abstractNumId w:val="5"/>
  </w:num>
  <w:num w:numId="6">
    <w:abstractNumId w:val="10"/>
  </w:num>
  <w:num w:numId="7">
    <w:abstractNumId w:val="7"/>
  </w:num>
  <w:num w:numId="8">
    <w:abstractNumId w:val="16"/>
  </w:num>
  <w:num w:numId="9">
    <w:abstractNumId w:val="11"/>
  </w:num>
  <w:num w:numId="10">
    <w:abstractNumId w:val="12"/>
  </w:num>
  <w:num w:numId="11">
    <w:abstractNumId w:val="17"/>
  </w:num>
  <w:num w:numId="12">
    <w:abstractNumId w:val="2"/>
  </w:num>
  <w:num w:numId="13">
    <w:abstractNumId w:val="0"/>
  </w:num>
  <w:num w:numId="14">
    <w:abstractNumId w:val="18"/>
  </w:num>
  <w:num w:numId="15">
    <w:abstractNumId w:val="8"/>
  </w:num>
  <w:num w:numId="16">
    <w:abstractNumId w:val="1"/>
  </w:num>
  <w:num w:numId="17">
    <w:abstractNumId w:val="15"/>
  </w:num>
  <w:num w:numId="18">
    <w:abstractNumId w:val="1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3">
    <w:name w:val="Placeholder Text"/>
    <w:basedOn w:val="900"/>
    <w:uiPriority w:val="99"/>
    <w:semiHidden/>
    <w:pPr>
      <w:pBdr/>
      <w:spacing/>
      <w:ind/>
    </w:pPr>
    <w:rPr>
      <w:color w:val="666666"/>
    </w:rPr>
  </w:style>
  <w:style w:type="table" w:styleId="76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Table Grid"/>
    <w:basedOn w:val="76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Table Grid Light"/>
    <w:basedOn w:val="76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Plain Table 1"/>
    <w:basedOn w:val="76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Plain Table 2"/>
    <w:basedOn w:val="76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Plain Table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Plain Table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Plain Table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1 Light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1 Light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1 Light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1 Light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1 Light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1 Light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1 Light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2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2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2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2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2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2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3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3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3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3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3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3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4"/>
    <w:basedOn w:val="7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4 - Accent 1"/>
    <w:basedOn w:val="7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4 - Accent 2"/>
    <w:basedOn w:val="7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4 - Accent 3"/>
    <w:basedOn w:val="7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4 - Accent 4"/>
    <w:basedOn w:val="7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4 - Accent 5"/>
    <w:basedOn w:val="7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4 - Accent 6"/>
    <w:basedOn w:val="7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5 Dark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5 Dark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5 Dark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5 Dark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5 Dark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5 Dark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5 Dark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6 Colorful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6 Colorful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6 Colorful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6 Colorful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6 Colorful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6 Colorful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6 Colorful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7 Colorful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7 Colorful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7 Colorful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7 Colorful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7 Colorful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7 Colorful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7 Colorful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1 Light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1 Light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1 Light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1 Light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1 Light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1 Light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1 Light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2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2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2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2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2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2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3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3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3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3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3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3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4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4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4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4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4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4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5 Dark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5 Dark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5 Dark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5 Dark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5 Dark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5 Dark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5 Dark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6 Colorful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6 Colorful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6 Colorful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6 Colorful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6 Colorful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6 Colorful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6 Colorful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7 Colorful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7 Colorful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7 Colorful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7 Colorful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7 Colorful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7 Colorful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7 Colorful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ned - Accent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ned - Accent 1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ned - Accent 2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ned - Accent 3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ned - Accent 4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ned - Accent 5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ned - Accent 6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Bordered &amp; Lined - Accent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Bordered &amp; Lined - Accent 1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Bordered &amp; Lined - Accent 2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Bordered &amp; Lined - Accent 3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Bordered &amp; Lined - Accent 4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Bordered &amp; Lined - Accent 5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Bordered &amp; Lined - Accent 6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Bordered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Bordered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Bordered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Bordered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Bordered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Bordered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Bordered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1">
    <w:name w:val="Heading 1"/>
    <w:basedOn w:val="952"/>
    <w:next w:val="952"/>
    <w:link w:val="90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92">
    <w:name w:val="Heading 2"/>
    <w:basedOn w:val="952"/>
    <w:next w:val="952"/>
    <w:link w:val="90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93">
    <w:name w:val="Heading 3"/>
    <w:basedOn w:val="952"/>
    <w:next w:val="952"/>
    <w:link w:val="90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94">
    <w:name w:val="Heading 4"/>
    <w:basedOn w:val="952"/>
    <w:next w:val="952"/>
    <w:link w:val="90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95">
    <w:name w:val="Heading 5"/>
    <w:basedOn w:val="952"/>
    <w:next w:val="952"/>
    <w:link w:val="90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96">
    <w:name w:val="Heading 6"/>
    <w:basedOn w:val="952"/>
    <w:next w:val="952"/>
    <w:link w:val="907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97">
    <w:name w:val="Heading 7"/>
    <w:basedOn w:val="952"/>
    <w:next w:val="952"/>
    <w:link w:val="90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98">
    <w:name w:val="Heading 8"/>
    <w:basedOn w:val="952"/>
    <w:next w:val="952"/>
    <w:link w:val="90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99">
    <w:name w:val="Heading 9"/>
    <w:basedOn w:val="952"/>
    <w:next w:val="952"/>
    <w:link w:val="91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00" w:default="1">
    <w:name w:val="Default Paragraph Font"/>
    <w:uiPriority w:val="1"/>
    <w:semiHidden/>
    <w:unhideWhenUsed/>
    <w:pPr>
      <w:pBdr/>
      <w:spacing/>
      <w:ind/>
    </w:pPr>
  </w:style>
  <w:style w:type="numbering" w:styleId="901" w:default="1">
    <w:name w:val="No List"/>
    <w:uiPriority w:val="99"/>
    <w:semiHidden/>
    <w:unhideWhenUsed/>
    <w:pPr>
      <w:pBdr/>
      <w:spacing/>
      <w:ind/>
    </w:pPr>
  </w:style>
  <w:style w:type="character" w:styleId="902">
    <w:name w:val="Heading 1 Char"/>
    <w:basedOn w:val="900"/>
    <w:link w:val="89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03">
    <w:name w:val="Heading 2 Char"/>
    <w:basedOn w:val="900"/>
    <w:link w:val="89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04">
    <w:name w:val="Heading 3 Char"/>
    <w:basedOn w:val="900"/>
    <w:link w:val="89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05">
    <w:name w:val="Heading 4 Char"/>
    <w:basedOn w:val="900"/>
    <w:link w:val="89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06">
    <w:name w:val="Heading 5 Char"/>
    <w:basedOn w:val="900"/>
    <w:link w:val="89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07">
    <w:name w:val="Heading 6 Char"/>
    <w:basedOn w:val="900"/>
    <w:link w:val="89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08">
    <w:name w:val="Heading 7 Char"/>
    <w:basedOn w:val="900"/>
    <w:link w:val="89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09">
    <w:name w:val="Heading 8 Char"/>
    <w:basedOn w:val="900"/>
    <w:link w:val="89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10">
    <w:name w:val="Heading 9 Char"/>
    <w:basedOn w:val="900"/>
    <w:link w:val="89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11">
    <w:name w:val="Title"/>
    <w:basedOn w:val="952"/>
    <w:next w:val="952"/>
    <w:link w:val="91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12">
    <w:name w:val="Title Char"/>
    <w:basedOn w:val="900"/>
    <w:link w:val="91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13">
    <w:name w:val="Subtitle"/>
    <w:basedOn w:val="952"/>
    <w:next w:val="952"/>
    <w:link w:val="91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14">
    <w:name w:val="Subtitle Char"/>
    <w:basedOn w:val="900"/>
    <w:link w:val="91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15">
    <w:name w:val="Quote"/>
    <w:basedOn w:val="952"/>
    <w:next w:val="952"/>
    <w:link w:val="91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16">
    <w:name w:val="Quote Char"/>
    <w:basedOn w:val="900"/>
    <w:link w:val="915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17">
    <w:name w:val="List Paragraph"/>
    <w:basedOn w:val="952"/>
    <w:uiPriority w:val="34"/>
    <w:qFormat/>
    <w:pPr>
      <w:pBdr/>
      <w:spacing/>
      <w:ind w:left="720"/>
      <w:contextualSpacing w:val="true"/>
    </w:pPr>
  </w:style>
  <w:style w:type="character" w:styleId="918">
    <w:name w:val="Intense Emphasis"/>
    <w:basedOn w:val="90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19">
    <w:name w:val="Intense Quote"/>
    <w:basedOn w:val="952"/>
    <w:next w:val="952"/>
    <w:link w:val="92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20">
    <w:name w:val="Intense Quote Char"/>
    <w:basedOn w:val="900"/>
    <w:link w:val="91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21">
    <w:name w:val="Intense Reference"/>
    <w:basedOn w:val="90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22">
    <w:name w:val="No Spacing"/>
    <w:basedOn w:val="952"/>
    <w:uiPriority w:val="1"/>
    <w:qFormat/>
    <w:pPr>
      <w:pBdr/>
      <w:spacing w:after="0" w:line="240" w:lineRule="auto"/>
      <w:ind/>
    </w:pPr>
  </w:style>
  <w:style w:type="character" w:styleId="923">
    <w:name w:val="Subtle Emphasis"/>
    <w:basedOn w:val="90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24">
    <w:name w:val="Emphasis"/>
    <w:basedOn w:val="900"/>
    <w:uiPriority w:val="20"/>
    <w:qFormat/>
    <w:pPr>
      <w:pBdr/>
      <w:spacing/>
      <w:ind/>
    </w:pPr>
    <w:rPr>
      <w:i/>
      <w:iCs/>
    </w:rPr>
  </w:style>
  <w:style w:type="character" w:styleId="925">
    <w:name w:val="Strong"/>
    <w:basedOn w:val="900"/>
    <w:uiPriority w:val="22"/>
    <w:qFormat/>
    <w:pPr>
      <w:pBdr/>
      <w:spacing/>
      <w:ind/>
    </w:pPr>
    <w:rPr>
      <w:b/>
      <w:bCs/>
    </w:rPr>
  </w:style>
  <w:style w:type="character" w:styleId="926">
    <w:name w:val="Subtle Reference"/>
    <w:basedOn w:val="90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27">
    <w:name w:val="Book Title"/>
    <w:basedOn w:val="90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28">
    <w:name w:val="Header"/>
    <w:basedOn w:val="952"/>
    <w:link w:val="92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29">
    <w:name w:val="Header Char"/>
    <w:basedOn w:val="900"/>
    <w:link w:val="928"/>
    <w:uiPriority w:val="99"/>
    <w:pPr>
      <w:pBdr/>
      <w:spacing/>
      <w:ind/>
    </w:pPr>
  </w:style>
  <w:style w:type="paragraph" w:styleId="930">
    <w:name w:val="Footer"/>
    <w:basedOn w:val="952"/>
    <w:link w:val="931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31">
    <w:name w:val="Footer Char"/>
    <w:basedOn w:val="900"/>
    <w:link w:val="930"/>
    <w:uiPriority w:val="99"/>
    <w:pPr>
      <w:pBdr/>
      <w:spacing/>
      <w:ind/>
    </w:pPr>
  </w:style>
  <w:style w:type="paragraph" w:styleId="932">
    <w:name w:val="Caption"/>
    <w:basedOn w:val="952"/>
    <w:next w:val="95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33">
    <w:name w:val="footnote text"/>
    <w:basedOn w:val="952"/>
    <w:link w:val="93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34">
    <w:name w:val="Footnote Text Char"/>
    <w:basedOn w:val="900"/>
    <w:link w:val="933"/>
    <w:uiPriority w:val="99"/>
    <w:semiHidden/>
    <w:pPr>
      <w:pBdr/>
      <w:spacing/>
      <w:ind/>
    </w:pPr>
    <w:rPr>
      <w:sz w:val="20"/>
      <w:szCs w:val="20"/>
    </w:rPr>
  </w:style>
  <w:style w:type="character" w:styleId="935">
    <w:name w:val="footnote reference"/>
    <w:basedOn w:val="900"/>
    <w:uiPriority w:val="99"/>
    <w:semiHidden/>
    <w:unhideWhenUsed/>
    <w:pPr>
      <w:pBdr/>
      <w:spacing/>
      <w:ind/>
    </w:pPr>
    <w:rPr>
      <w:vertAlign w:val="superscript"/>
    </w:rPr>
  </w:style>
  <w:style w:type="paragraph" w:styleId="936">
    <w:name w:val="endnote text"/>
    <w:basedOn w:val="952"/>
    <w:link w:val="93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37">
    <w:name w:val="Endnote Text Char"/>
    <w:basedOn w:val="900"/>
    <w:link w:val="936"/>
    <w:uiPriority w:val="99"/>
    <w:semiHidden/>
    <w:pPr>
      <w:pBdr/>
      <w:spacing/>
      <w:ind/>
    </w:pPr>
    <w:rPr>
      <w:sz w:val="20"/>
      <w:szCs w:val="20"/>
    </w:rPr>
  </w:style>
  <w:style w:type="character" w:styleId="938">
    <w:name w:val="endnote reference"/>
    <w:basedOn w:val="900"/>
    <w:uiPriority w:val="99"/>
    <w:semiHidden/>
    <w:unhideWhenUsed/>
    <w:pPr>
      <w:pBdr/>
      <w:spacing/>
      <w:ind/>
    </w:pPr>
    <w:rPr>
      <w:vertAlign w:val="superscript"/>
    </w:rPr>
  </w:style>
  <w:style w:type="character" w:styleId="939">
    <w:name w:val="Hyperlink"/>
    <w:basedOn w:val="90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40">
    <w:name w:val="FollowedHyperlink"/>
    <w:basedOn w:val="90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41">
    <w:name w:val="toc 1"/>
    <w:basedOn w:val="952"/>
    <w:next w:val="952"/>
    <w:uiPriority w:val="39"/>
    <w:unhideWhenUsed/>
    <w:pPr>
      <w:pBdr/>
      <w:spacing w:after="100"/>
      <w:ind/>
    </w:pPr>
  </w:style>
  <w:style w:type="paragraph" w:styleId="942">
    <w:name w:val="toc 2"/>
    <w:basedOn w:val="952"/>
    <w:next w:val="952"/>
    <w:uiPriority w:val="39"/>
    <w:unhideWhenUsed/>
    <w:pPr>
      <w:pBdr/>
      <w:spacing w:after="100"/>
      <w:ind w:left="220"/>
    </w:pPr>
  </w:style>
  <w:style w:type="paragraph" w:styleId="943">
    <w:name w:val="toc 3"/>
    <w:basedOn w:val="952"/>
    <w:next w:val="952"/>
    <w:uiPriority w:val="39"/>
    <w:unhideWhenUsed/>
    <w:pPr>
      <w:pBdr/>
      <w:spacing w:after="100"/>
      <w:ind w:left="440"/>
    </w:pPr>
  </w:style>
  <w:style w:type="paragraph" w:styleId="944">
    <w:name w:val="toc 4"/>
    <w:basedOn w:val="952"/>
    <w:next w:val="952"/>
    <w:uiPriority w:val="39"/>
    <w:unhideWhenUsed/>
    <w:pPr>
      <w:pBdr/>
      <w:spacing w:after="100"/>
      <w:ind w:left="660"/>
    </w:pPr>
  </w:style>
  <w:style w:type="paragraph" w:styleId="945">
    <w:name w:val="toc 5"/>
    <w:basedOn w:val="952"/>
    <w:next w:val="952"/>
    <w:uiPriority w:val="39"/>
    <w:unhideWhenUsed/>
    <w:pPr>
      <w:pBdr/>
      <w:spacing w:after="100"/>
      <w:ind w:left="880"/>
    </w:pPr>
  </w:style>
  <w:style w:type="paragraph" w:styleId="946">
    <w:name w:val="toc 6"/>
    <w:basedOn w:val="952"/>
    <w:next w:val="952"/>
    <w:uiPriority w:val="39"/>
    <w:unhideWhenUsed/>
    <w:pPr>
      <w:pBdr/>
      <w:spacing w:after="100"/>
      <w:ind w:left="1100"/>
    </w:pPr>
  </w:style>
  <w:style w:type="paragraph" w:styleId="947">
    <w:name w:val="toc 7"/>
    <w:basedOn w:val="952"/>
    <w:next w:val="952"/>
    <w:uiPriority w:val="39"/>
    <w:unhideWhenUsed/>
    <w:pPr>
      <w:pBdr/>
      <w:spacing w:after="100"/>
      <w:ind w:left="1320"/>
    </w:pPr>
  </w:style>
  <w:style w:type="paragraph" w:styleId="948">
    <w:name w:val="toc 8"/>
    <w:basedOn w:val="952"/>
    <w:next w:val="952"/>
    <w:uiPriority w:val="39"/>
    <w:unhideWhenUsed/>
    <w:pPr>
      <w:pBdr/>
      <w:spacing w:after="100"/>
      <w:ind w:left="1540"/>
    </w:pPr>
  </w:style>
  <w:style w:type="paragraph" w:styleId="949">
    <w:name w:val="toc 9"/>
    <w:basedOn w:val="952"/>
    <w:next w:val="952"/>
    <w:uiPriority w:val="39"/>
    <w:unhideWhenUsed/>
    <w:pPr>
      <w:pBdr/>
      <w:spacing w:after="100"/>
      <w:ind w:left="1760"/>
    </w:pPr>
  </w:style>
  <w:style w:type="paragraph" w:styleId="950">
    <w:name w:val="TOC Heading"/>
    <w:uiPriority w:val="39"/>
    <w:unhideWhenUsed/>
    <w:pPr>
      <w:pBdr/>
      <w:spacing/>
      <w:ind/>
    </w:pPr>
  </w:style>
  <w:style w:type="paragraph" w:styleId="951">
    <w:name w:val="table of figures"/>
    <w:basedOn w:val="952"/>
    <w:next w:val="952"/>
    <w:uiPriority w:val="99"/>
    <w:unhideWhenUsed/>
    <w:pPr>
      <w:pBdr/>
      <w:spacing w:after="0" w:afterAutospacing="0"/>
      <w:ind/>
    </w:pPr>
  </w:style>
  <w:style w:type="paragraph" w:styleId="952" w:default="1">
    <w:name w:val="Normal"/>
    <w:next w:val="952"/>
    <w:link w:val="952"/>
    <w:qFormat/>
    <w:pPr>
      <w:pBdr/>
      <w:spacing w:after="200" w:line="276" w:lineRule="auto"/>
      <w:ind/>
    </w:pPr>
    <w:rPr>
      <w:sz w:val="22"/>
      <w:szCs w:val="22"/>
      <w:lang w:val="ru-RU" w:eastAsia="en-US" w:bidi="ar-SA"/>
    </w:rPr>
  </w:style>
  <w:style w:type="character" w:styleId="953">
    <w:name w:val="Основной шрифт абзаца"/>
    <w:next w:val="953"/>
    <w:link w:val="952"/>
    <w:uiPriority w:val="1"/>
    <w:unhideWhenUsed/>
    <w:pPr>
      <w:pBdr/>
      <w:spacing/>
      <w:ind/>
    </w:pPr>
  </w:style>
  <w:style w:type="table" w:styleId="954">
    <w:name w:val="Обычная таблица"/>
    <w:next w:val="954"/>
    <w:link w:val="952"/>
    <w:uiPriority w:val="99"/>
    <w:semiHidden/>
    <w:unhideWhenUsed/>
    <w:qFormat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55">
    <w:name w:val="Нет списка"/>
    <w:next w:val="955"/>
    <w:link w:val="952"/>
    <w:uiPriority w:val="99"/>
    <w:semiHidden/>
    <w:unhideWhenUsed/>
    <w:pPr>
      <w:pBdr/>
      <w:spacing/>
      <w:ind/>
    </w:pPr>
  </w:style>
  <w:style w:type="paragraph" w:styleId="956">
    <w:name w:val="Абзац списка"/>
    <w:basedOn w:val="952"/>
    <w:next w:val="956"/>
    <w:link w:val="952"/>
    <w:uiPriority w:val="34"/>
    <w:qFormat/>
    <w:pPr>
      <w:pBdr/>
      <w:spacing/>
      <w:ind w:left="720"/>
      <w:contextualSpacing w:val="true"/>
    </w:pPr>
  </w:style>
  <w:style w:type="table" w:styleId="957">
    <w:name w:val="Сетка таблицы"/>
    <w:basedOn w:val="954"/>
    <w:next w:val="957"/>
    <w:link w:val="952"/>
    <w:uiPriority w:val="59"/>
    <w:pPr>
      <w:pBdr/>
      <w:spacing w:after="0" w:line="240" w:lineRule="auto"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58">
    <w:name w:val="ConsPlusNormal"/>
    <w:next w:val="958"/>
    <w:link w:val="952"/>
    <w:pPr>
      <w:widowControl w:val="false"/>
      <w:pBdr/>
      <w:spacing/>
      <w:ind w:firstLine="720"/>
    </w:pPr>
    <w:rPr>
      <w:rFonts w:ascii="Arial" w:hAnsi="Arial" w:eastAsia="Times New Roman" w:cs="Arial"/>
      <w:lang w:val="ru-RU" w:eastAsia="ru-RU" w:bidi="ar-SA"/>
    </w:rPr>
  </w:style>
  <w:style w:type="paragraph" w:styleId="959">
    <w:name w:val="Верхний колонтитул"/>
    <w:basedOn w:val="952"/>
    <w:next w:val="959"/>
    <w:link w:val="96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  <w:rPr>
      <w:sz w:val="20"/>
      <w:szCs w:val="20"/>
      <w:lang w:val="en-US" w:eastAsia="en-US"/>
    </w:rPr>
  </w:style>
  <w:style w:type="character" w:styleId="960">
    <w:name w:val="Верхний колонтитул Знак"/>
    <w:next w:val="960"/>
    <w:link w:val="959"/>
    <w:uiPriority w:val="99"/>
    <w:pPr>
      <w:pBdr/>
      <w:spacing/>
      <w:ind/>
    </w:pPr>
    <w:rPr>
      <w:rFonts w:ascii="Calibri" w:hAnsi="Calibri" w:eastAsia="Calibri" w:cs="Times New Roman"/>
    </w:rPr>
  </w:style>
  <w:style w:type="paragraph" w:styleId="961">
    <w:name w:val="Нижний колонтитул"/>
    <w:basedOn w:val="952"/>
    <w:next w:val="961"/>
    <w:link w:val="96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62">
    <w:name w:val="Нижний колонтитул Знак"/>
    <w:basedOn w:val="953"/>
    <w:next w:val="962"/>
    <w:link w:val="961"/>
    <w:uiPriority w:val="99"/>
    <w:pPr>
      <w:pBdr/>
      <w:spacing/>
      <w:ind/>
    </w:pPr>
  </w:style>
  <w:style w:type="paragraph" w:styleId="963">
    <w:name w:val="Текст выноски"/>
    <w:basedOn w:val="952"/>
    <w:next w:val="963"/>
    <w:link w:val="964"/>
    <w:uiPriority w:val="99"/>
    <w:semiHidden/>
    <w:unhideWhenUsed/>
    <w:pPr>
      <w:pBdr/>
      <w:spacing w:after="0" w:line="240" w:lineRule="auto"/>
      <w:ind/>
    </w:pPr>
    <w:rPr>
      <w:rFonts w:ascii="Tahoma" w:hAnsi="Tahoma"/>
      <w:sz w:val="16"/>
      <w:szCs w:val="16"/>
      <w:lang w:val="en-US" w:eastAsia="en-US"/>
    </w:rPr>
  </w:style>
  <w:style w:type="character" w:styleId="964">
    <w:name w:val="Текст выноски Знак"/>
    <w:next w:val="964"/>
    <w:link w:val="963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965">
    <w:name w:val="ConsPlusCell"/>
    <w:next w:val="965"/>
    <w:link w:val="952"/>
    <w:uiPriority w:val="99"/>
    <w:pPr>
      <w:widowControl w:val="false"/>
      <w:pBdr/>
      <w:spacing/>
      <w:ind/>
    </w:pPr>
    <w:rPr>
      <w:rFonts w:ascii="Arial" w:hAnsi="Arial" w:eastAsia="Times New Roman" w:cs="Arial"/>
      <w:lang w:val="ru-RU" w:eastAsia="ru-RU" w:bidi="ar-SA"/>
    </w:rPr>
  </w:style>
  <w:style w:type="paragraph" w:styleId="966">
    <w:name w:val="ConsPlusNonformat"/>
    <w:next w:val="966"/>
    <w:link w:val="952"/>
    <w:pPr>
      <w:pBdr/>
      <w:spacing/>
      <w:ind/>
    </w:pPr>
    <w:rPr>
      <w:rFonts w:ascii="Courier New" w:hAnsi="Courier New" w:eastAsia="Times New Roman" w:cs="Courier New"/>
      <w:lang w:val="ru-RU" w:eastAsia="ru-RU" w:bidi="ar-SA"/>
    </w:rPr>
  </w:style>
  <w:style w:type="character" w:styleId="967">
    <w:name w:val="Гиперссылка"/>
    <w:next w:val="967"/>
    <w:link w:val="952"/>
    <w:uiPriority w:val="99"/>
    <w:unhideWhenUsed/>
    <w:pPr>
      <w:pBdr/>
      <w:spacing/>
      <w:ind/>
    </w:pPr>
    <w:rPr>
      <w:color w:val="0563c1"/>
      <w:u w:val="single"/>
    </w:rPr>
  </w:style>
  <w:style w:type="table" w:styleId="968">
    <w:name w:val="Сетка таблицы1"/>
    <w:basedOn w:val="954"/>
    <w:next w:val="957"/>
    <w:link w:val="952"/>
    <w:pPr>
      <w:pBdr/>
      <w:spacing/>
      <w:ind/>
    </w:pPr>
    <w:rPr>
      <w:rFonts w:ascii="Times New Roman" w:hAnsi="Times New Roman" w:eastAsia="Times New Roman"/>
    </w:r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69">
    <w:name w:val="Неразрешенное упоминание"/>
    <w:next w:val="969"/>
    <w:link w:val="952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970">
    <w:name w:val="Обычный (веб)"/>
    <w:basedOn w:val="952"/>
    <w:next w:val="970"/>
    <w:link w:val="952"/>
    <w:uiPriority w:val="99"/>
    <w:semiHidden/>
    <w:unhideWhenUsed/>
    <w:pPr>
      <w:pBdr/>
      <w:spacing/>
      <w:ind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revision>113</cp:revision>
  <dcterms:created xsi:type="dcterms:W3CDTF">2023-07-21T08:39:00Z</dcterms:created>
  <dcterms:modified xsi:type="dcterms:W3CDTF">2026-06-29T11:49:37Z</dcterms:modified>
  <cp:version>1048576</cp:version>
</cp:coreProperties>
</file>