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58"/>
        <w:pBdr/>
        <w:spacing w:after="0" w:line="240" w:lineRule="auto"/>
        <w:ind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ПРОЕКТ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8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8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КАБИНЕТ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8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ПОСТАНОВЛЕНИЕ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8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8"/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/>
          <w:sz w:val="28"/>
          <w:szCs w:val="28"/>
          <w:highlight w:val="none"/>
        </w:rPr>
        <w:t xml:space="preserve">___</w:t>
      </w:r>
      <w:r>
        <w:rPr>
          <w:rFonts w:ascii="Times New Roman" w:hAnsi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</w:rPr>
        <w:t xml:space="preserve"> _______ 20</w:t>
      </w:r>
      <w:r>
        <w:rPr>
          <w:rFonts w:ascii="Times New Roman" w:hAnsi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/>
          <w:sz w:val="28"/>
          <w:szCs w:val="28"/>
          <w:highlight w:val="none"/>
        </w:rPr>
        <w:t xml:space="preserve">6</w:t>
      </w:r>
      <w:r>
        <w:rPr>
          <w:rFonts w:ascii="Times New Roman" w:hAnsi="Times New Roman"/>
          <w:sz w:val="28"/>
          <w:szCs w:val="28"/>
          <w:highlight w:val="none"/>
        </w:rPr>
        <w:tab/>
      </w:r>
      <w:r>
        <w:rPr>
          <w:rFonts w:ascii="Times New Roman" w:hAnsi="Times New Roman"/>
          <w:sz w:val="28"/>
          <w:szCs w:val="28"/>
          <w:highlight w:val="none"/>
        </w:rPr>
        <w:tab/>
        <w:tab/>
        <w:tab/>
        <w:tab/>
        <w:tab/>
        <w:tab/>
        <w:tab/>
        <w:tab/>
      </w:r>
      <w:r>
        <w:rPr>
          <w:rFonts w:ascii="Times New Roman" w:hAnsi="Times New Roman"/>
          <w:sz w:val="28"/>
          <w:szCs w:val="28"/>
          <w:highlight w:val="none"/>
        </w:rPr>
        <w:t xml:space="preserve">№ ___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8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8"/>
        <w:pBdr/>
        <w:tabs>
          <w:tab w:val="left" w:leader="none" w:pos="3544"/>
        </w:tabs>
        <w:spacing w:after="0" w:line="240" w:lineRule="auto"/>
        <w:ind w:right="5528" w:firstLine="0" w:left="0"/>
        <w:jc w:val="both"/>
        <w:rPr>
          <w:highlight w:val="none"/>
        </w:rPr>
      </w:pPr>
      <w:r>
        <w:rPr>
          <w:highlight w:val="none"/>
        </w:rPr>
      </w:r>
      <w:bookmarkStart w:id="0" w:name="_Hlk92794410"/>
      <w:r>
        <w:rPr>
          <w:highlight w:val="none"/>
        </w:rPr>
      </w:r>
      <w:bookmarkStart w:id="1" w:name="_Hlk170484123"/>
      <w:r>
        <w:rPr>
          <w:rFonts w:ascii="Times New Roman" w:hAnsi="Times New Roman"/>
          <w:sz w:val="28"/>
          <w:szCs w:val="28"/>
          <w:highlight w:val="none"/>
        </w:rPr>
        <w:t xml:space="preserve">О внесении </w:t>
      </w:r>
      <w:r>
        <w:rPr>
          <w:rFonts w:ascii="Times New Roman" w:hAnsi="Times New Roman"/>
          <w:sz w:val="28"/>
          <w:szCs w:val="28"/>
          <w:highlight w:val="none"/>
        </w:rPr>
        <w:t xml:space="preserve">изменений</w:t>
      </w:r>
      <w:r>
        <w:rPr>
          <w:rFonts w:ascii="Times New Roman" w:hAnsi="Times New Roman"/>
          <w:sz w:val="28"/>
          <w:szCs w:val="28"/>
          <w:highlight w:val="none"/>
        </w:rPr>
        <w:t xml:space="preserve"> в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постановление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Кабинета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 от </w:t>
      </w:r>
      <w:r>
        <w:rPr>
          <w:rFonts w:ascii="Times New Roman" w:hAnsi="Times New Roman"/>
          <w:sz w:val="28"/>
          <w:szCs w:val="28"/>
          <w:highlight w:val="none"/>
        </w:rPr>
        <w:t xml:space="preserve">25.09.2025 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№</w:t>
      </w:r>
      <w:r>
        <w:rPr>
          <w:rFonts w:ascii="Times New Roman" w:hAnsi="Times New Roman"/>
          <w:sz w:val="28"/>
          <w:szCs w:val="28"/>
          <w:highlight w:val="none"/>
        </w:rPr>
        <w:t xml:space="preserve"> 755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«</w:t>
      </w:r>
      <w:r>
        <w:rPr>
          <w:rFonts w:ascii="Times New Roman" w:hAnsi="Times New Roman"/>
          <w:sz w:val="28"/>
          <w:szCs w:val="28"/>
          <w:highlight w:val="none"/>
        </w:rPr>
        <w:t xml:space="preserve">Об утверждении нормативных затрат на государственные работы, услуги и объемов государственных услуг отдельных государственных учреждений социокультурной сферы Республики Татарстан на 2026 год и на плановый период 2027 и 2028 годов</w:t>
      </w:r>
      <w:r>
        <w:rPr>
          <w:rFonts w:ascii="Times New Roman" w:hAnsi="Times New Roman"/>
          <w:sz w:val="28"/>
          <w:szCs w:val="28"/>
          <w:highlight w:val="none"/>
        </w:rPr>
        <w:t xml:space="preserve">»</w:t>
      </w:r>
      <w:bookmarkEnd w:id="0"/>
      <w:r>
        <w:rPr>
          <w:highlight w:val="none"/>
        </w:rPr>
      </w:r>
      <w:r>
        <w:rPr>
          <w:highlight w:val="none"/>
        </w:rPr>
      </w:r>
    </w:p>
    <w:p>
      <w:pPr>
        <w:pStyle w:val="958"/>
        <w:pBdr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highlight w:val="none"/>
        </w:rPr>
      </w:r>
      <w:bookmarkEnd w:id="1"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8"/>
        <w:pBdr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8"/>
        <w:pBdr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5AB1EAD7">
      <w:pPr>
        <w:pBdr/>
        <w:spacing w:after="0" w:line="240" w:lineRule="auto"/>
        <w:ind w:firstLine="709"/>
        <w:jc w:val="both"/>
        <w:rPr/>
      </w:pP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Внести в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 постановление Кабинета Министров Республики Тата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р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стан 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социокультурной сферы Республики Татарстан на 2026 год и на плановый период 2027 и 2028 годов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 (с изменениями, внесенными постановлениями Кабинета Министров Республики Татарстан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от 30.12.2025 № 1200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от 17.03.2026</w:t>
        <w:br/>
        <w:t xml:space="preserve">№ 229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от 25.05.2026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№ 738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) следующие изменения:</w:t>
      </w:r>
      <w:r/>
    </w:p>
    <w:p w14:paraId="6E420EE6">
      <w:pPr>
        <w:pStyle w:val="958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нормативные затраты на государственные работы, выполняемые отдельными государственными учреждениями социокультурной сферы Республики Татарстан, на 2026 год и на плановый период 2027 и 2028 годов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, утвержденные указанным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постановлением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дополнить пунктом 1.6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следующего содержания: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</w:p>
    <w:p w14:paraId="1A624CCD">
      <w:pPr>
        <w:pStyle w:val="958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</w:p>
    <w:tbl>
      <w:tblPr>
        <w:tblStyle w:val="771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030"/>
        <w:gridCol w:w="3260"/>
        <w:gridCol w:w="1276"/>
        <w:gridCol w:w="1417"/>
        <w:gridCol w:w="1560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563" w:type="dxa"/>
            <w:vAlign w:val="top"/>
          </w:tcPr>
          <w:p w14:paraId="061C5D5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«1.6.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030" w:type="dxa"/>
            <w:vAlign w:val="top"/>
          </w:tcPr>
          <w:p w14:paraId="3A28530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Государственное автономное учреждение «Республиканский центр психолого-педагогической, медицинской и социальной помощи «Росток»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3260" w:type="dxa"/>
            <w:vAlign w:val="top"/>
          </w:tcPr>
          <w:p w14:paraId="639799C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76" w:type="dxa"/>
            <w:vAlign w:val="top"/>
          </w:tcPr>
          <w:p w14:paraId="19A64A97"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9 279 542,75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417" w:type="dxa"/>
            <w:vAlign w:val="top"/>
          </w:tcPr>
          <w:p w14:paraId="3B94AB9B"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10 144 051,95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560" w:type="dxa"/>
            <w:vAlign w:val="top"/>
          </w:tcPr>
          <w:p w14:paraId="021E6840">
            <w:pPr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11 084 506,5»;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62A3731A">
      <w:pPr>
        <w:pStyle w:val="958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</w:p>
    <w:p w14:paraId="763B5573">
      <w:pPr>
        <w:pStyle w:val="958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пункт 1.1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нормативных затрат на государственные услуги, оказываемые отдельными государственными учреждениями социокультурной сферы Республики Татарстан, на 2026 год и на плановый период 2027 и 2028 годов, утвержденных указанным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постановлением</w:t>
      </w:r>
      <w:r>
        <w:rPr>
          <w:rFonts w:ascii="Times New Roman" w:hAnsi="Times New Roman"/>
          <w:sz w:val="28"/>
          <w:szCs w:val="28"/>
          <w:highlight w:val="none"/>
        </w:rPr>
        <w:t xml:space="preserve">, изложить в следующей редакции: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</w:rPr>
      </w:r>
    </w:p>
    <w:p w14:paraId="63B8E0DD">
      <w:pPr>
        <w:pStyle w:val="958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Style w:val="771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08"/>
        <w:gridCol w:w="1984"/>
        <w:gridCol w:w="2126"/>
        <w:gridCol w:w="1843"/>
        <w:gridCol w:w="1276"/>
        <w:gridCol w:w="1134"/>
        <w:gridCol w:w="1333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08" w:type="dxa"/>
            <w:vAlign w:val="top"/>
            <w:vMerge w:val="restart"/>
          </w:tcPr>
          <w:p w14:paraId="16E943D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«1.1.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4" w:type="dxa"/>
            <w:vAlign w:val="top"/>
            <w:vMerge w:val="restart"/>
          </w:tcPr>
          <w:p w14:paraId="297B0EA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Государственное автономное учреждение «Республиканский центр психолого-педагогической, медицинской и социальной помощи «Росток»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126" w:type="dxa"/>
            <w:vAlign w:val="top"/>
          </w:tcPr>
          <w:p w14:paraId="52A78B1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коррекционно-развивающая, компенсирующая и логопедическая помощь обучающимся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vAlign w:val="top"/>
          </w:tcPr>
          <w:p w14:paraId="5F7229E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один обучающийся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76" w:type="dxa"/>
            <w:vAlign w:val="top"/>
          </w:tcPr>
          <w:p w14:paraId="53F8282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23 312,94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top"/>
          </w:tcPr>
          <w:p w14:paraId="6C591B2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25 467,81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33" w:type="dxa"/>
            <w:vAlign w:val="top"/>
          </w:tcPr>
          <w:p w14:paraId="570418F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27 811,51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7207D5CD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6C5A69AD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126" w:type="dxa"/>
            <w:vAlign w:val="top"/>
          </w:tcPr>
          <w:p w14:paraId="4D7BA98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vAlign w:val="top"/>
          </w:tcPr>
          <w:p w14:paraId="6F3C12E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один обучающийся/родитель/законный представитель/педагогический работник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76" w:type="dxa"/>
            <w:vAlign w:val="top"/>
          </w:tcPr>
          <w:p w14:paraId="09F0673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45 678,83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top"/>
          </w:tcPr>
          <w:p w14:paraId="63EEC8E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49 978,22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333" w:type="dxa"/>
            <w:vAlign w:val="top"/>
          </w:tcPr>
          <w:p w14:paraId="7EDF04E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54 656,56»;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0EC6EC27">
      <w:pPr>
        <w:pStyle w:val="958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305325BA">
      <w:pPr>
        <w:pStyle w:val="958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пункт 1.1</w:t>
      </w:r>
      <w:r>
        <w:rPr>
          <w:rFonts w:ascii="Times New Roman" w:hAnsi="Times New Roman"/>
          <w:sz w:val="28"/>
          <w:szCs w:val="28"/>
          <w:highlight w:val="none"/>
        </w:rPr>
        <w:t xml:space="preserve"> объемов государственных услуг, оказываемых отдельными государственными учреждениями социокультурной сферы Республики Татарстан, на 2026 год и на плановый период 2027 и 2028 годов</w:t>
      </w:r>
      <w:r>
        <w:rPr>
          <w:rFonts w:ascii="Times New Roman" w:hAnsi="Times New Roman"/>
          <w:sz w:val="28"/>
          <w:szCs w:val="28"/>
          <w:highlight w:val="none"/>
        </w:rPr>
        <w:t xml:space="preserve">, утвержденных указанным постановлением, изложить в следующей редакции: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3980DC9E">
      <w:pPr>
        <w:pStyle w:val="958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Style w:val="771"/>
        <w:tblInd w:w="15" w:type="dxa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08"/>
        <w:gridCol w:w="1985"/>
        <w:gridCol w:w="2126"/>
        <w:gridCol w:w="1843"/>
        <w:gridCol w:w="1276"/>
        <w:gridCol w:w="1134"/>
        <w:gridCol w:w="1274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608" w:type="dxa"/>
            <w:vAlign w:val="top"/>
            <w:vMerge w:val="restart"/>
          </w:tcPr>
          <w:p w14:paraId="3188C2D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«1.1.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985" w:type="dxa"/>
            <w:vAlign w:val="top"/>
            <w:vMerge w:val="restart"/>
          </w:tcPr>
          <w:p w14:paraId="0B6A06D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Государственное автономное учреждение «Республиканский центр психолого-педагогической, медицинской и социальной помощи «Росток»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126" w:type="dxa"/>
            <w:vAlign w:val="top"/>
          </w:tcPr>
          <w:p w14:paraId="3D91F15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коррекционно-развивающая, компенсирующая и логопедическая помощь обучающимся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vAlign w:val="top"/>
          </w:tcPr>
          <w:p w14:paraId="72C3566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число обучающихся, человек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76" w:type="dxa"/>
            <w:vAlign w:val="top"/>
          </w:tcPr>
          <w:p w14:paraId="37819C7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250,0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top"/>
          </w:tcPr>
          <w:p w14:paraId="27BCA48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250,0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74" w:type="dxa"/>
            <w:vAlign w:val="top"/>
          </w:tcPr>
          <w:p w14:paraId="21FE5E6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250,0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067BE68C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</w:tcPr>
          <w:p w14:paraId="4D51E1AB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2126" w:type="dxa"/>
            <w:vAlign w:val="top"/>
          </w:tcPr>
          <w:p w14:paraId="005B760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843" w:type="dxa"/>
            <w:vAlign w:val="top"/>
          </w:tcPr>
          <w:p w14:paraId="01ED822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число обучающихся, их родителей (законных представителей) и педагогических работников, человек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76" w:type="dxa"/>
            <w:vAlign w:val="top"/>
          </w:tcPr>
          <w:p w14:paraId="56F0056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215,0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Align w:val="top"/>
          </w:tcPr>
          <w:p w14:paraId="4FF7C77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215,0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57" w:type="dxa"/>
              <w:top w:w="0" w:type="dxa"/>
              <w:right w:w="57" w:type="dxa"/>
              <w:bottom w:w="0" w:type="dxa"/>
            </w:tcMar>
            <w:tcW w:w="1274" w:type="dxa"/>
            <w:vAlign w:val="top"/>
          </w:tcPr>
          <w:p w14:paraId="478FE02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215,0».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2A823067">
      <w:pPr>
        <w:pStyle w:val="958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2086F266">
      <w:pPr>
        <w:pStyle w:val="958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29AA8101">
      <w:pPr>
        <w:pStyle w:val="958"/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8"/>
        <w:pBdr/>
        <w:spacing w:after="0" w:line="240" w:lineRule="auto"/>
        <w:ind w:right="-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Премьер-министр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8"/>
        <w:pBdr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Республики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                                                                                   А.В. Песошин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8"/>
        <w:pBdr/>
        <w:spacing w:after="0" w:line="288" w:lineRule="auto"/>
        <w:ind w:right="-1"/>
        <w:jc w:val="both"/>
        <w:rPr>
          <w:rFonts w:ascii="Times New Roman" w:hAnsi="Times New Roman"/>
          <w:sz w:val="28"/>
          <w:szCs w:val="28"/>
          <w:highlight w:val="none"/>
        </w:rPr>
        <w:sectPr>
          <w:headerReference w:type="default" r:id="rId9"/>
          <w:footnotePr/>
          <w:endnotePr/>
          <w:type w:val="nextPage"/>
          <w:pgSz w:h="16838" w:orient="portrait" w:w="11906"/>
          <w:pgMar w:top="1134" w:right="567" w:bottom="1134" w:left="1134" w:header="709" w:footer="130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8"/>
        <w:pBdr/>
        <w:spacing w:after="0" w:line="264" w:lineRule="auto"/>
        <w:ind/>
        <w:jc w:val="center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ПОЯСНИТЕЛЬНАЯ ЗАПИСКА</w:t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pStyle w:val="958"/>
        <w:pBdr/>
        <w:spacing w:after="0" w:line="264" w:lineRule="auto"/>
        <w:ind/>
        <w:jc w:val="center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pStyle w:val="958"/>
        <w:pBdr/>
        <w:spacing w:after="0" w:line="264" w:lineRule="auto"/>
        <w:ind/>
        <w:jc w:val="center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«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О внесении изменений в постановление Кабинета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Министров Республики Татарстан 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социокультурной сферы Республики Татарстан на 2026 год и на плановы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й период 2027 и 2028 годов»</w:t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pStyle w:val="958"/>
        <w:pBdr/>
        <w:spacing w:after="0" w:line="264" w:lineRule="auto"/>
        <w:ind w:firstLine="708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2F8552D6">
      <w:pPr>
        <w:pStyle w:val="958"/>
        <w:pBdr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Проект постановления Кабинета Министров Республики Татарстан «</w:t>
      </w:r>
      <w:r>
        <w:rPr>
          <w:rFonts w:ascii="Times New Roman" w:hAnsi="Times New Roman"/>
          <w:sz w:val="28"/>
          <w:szCs w:val="28"/>
          <w:highlight w:val="none"/>
        </w:rPr>
        <w:t xml:space="preserve">О внесении изменений постановление Кабинета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Министров Республики Татарстан от 25.09.2025 № 755 «Об утверждении нормативных затрат на государственные работы, услуги и объемов государственных услуг отдельных государственных учреждений социокультурной сферы Республики Татарстан на 2026 год и на плановы</w:t>
      </w:r>
      <w:r>
        <w:rPr>
          <w:rFonts w:ascii="Times New Roman" w:hAnsi="Times New Roman"/>
          <w:sz w:val="28"/>
          <w:szCs w:val="28"/>
          <w:highlight w:val="none"/>
        </w:rPr>
        <w:t xml:space="preserve">й период 2027 и 2028 годов»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разработан государственным бюджетным учреждением «Центр экономических и социальных исследований Республики Татарстан при Кабинете Министров Республики Татарстан»</w:t>
      </w:r>
      <w:r>
        <w:rPr>
          <w:rFonts w:ascii="Times New Roman" w:hAnsi="Times New Roman"/>
          <w:sz w:val="28"/>
          <w:szCs w:val="28"/>
          <w:highlight w:val="none"/>
        </w:rPr>
        <w:t xml:space="preserve">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7EAF632F">
      <w:pPr>
        <w:pStyle w:val="958"/>
        <w:pBdr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 </w:t>
      </w:r>
      <w:r>
        <w:rPr>
          <w:rFonts w:ascii="Times New Roman" w:hAnsi="Times New Roman"/>
          <w:sz w:val="28"/>
          <w:szCs w:val="28"/>
          <w:highlight w:val="none"/>
        </w:rPr>
        <w:t xml:space="preserve">в</w:t>
      </w:r>
      <w:r>
        <w:rPr>
          <w:rFonts w:ascii="Times New Roman" w:hAnsi="Times New Roman"/>
          <w:sz w:val="28"/>
          <w:szCs w:val="28"/>
          <w:highlight w:val="none"/>
        </w:rPr>
        <w:t xml:space="preserve">о исполнение пункта 5 постановления Кабинета Министров Республики Татарстан от 29.05.2026 № 752 «О переименовании государственного автономного образовательного учреждения для детей, нуждающихся в оказании психолого-педагогической и медико-социальной помощи</w:t>
      </w:r>
      <w:r>
        <w:rPr>
          <w:rFonts w:ascii="Times New Roman" w:hAnsi="Times New Roman"/>
          <w:sz w:val="28"/>
          <w:szCs w:val="28"/>
          <w:highlight w:val="none"/>
        </w:rPr>
        <w:t xml:space="preserve"> «Центр психолого-педагогической реабилитации и коррекции «Росток» (далее – ГАУ «Росток»);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0ADBDCE7">
      <w:pPr>
        <w:pStyle w:val="958"/>
        <w:pBdr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 в рамках приведения в соответствие </w:t>
      </w:r>
      <w:r>
        <w:rPr>
          <w:rFonts w:ascii="Times New Roman" w:hAnsi="Times New Roman"/>
          <w:sz w:val="28"/>
          <w:szCs w:val="28"/>
          <w:highlight w:val="none"/>
        </w:rPr>
        <w:t xml:space="preserve">примерному перечню </w:t>
      </w:r>
      <w:r>
        <w:rPr>
          <w:rFonts w:ascii="Times New Roman" w:hAnsi="Times New Roman"/>
          <w:sz w:val="28"/>
          <w:szCs w:val="28"/>
          <w:highlight w:val="none"/>
        </w:rPr>
        <w:t xml:space="preserve">го</w:t>
      </w:r>
      <w:r>
        <w:rPr>
          <w:rFonts w:ascii="Times New Roman" w:hAnsi="Times New Roman"/>
          <w:sz w:val="28"/>
          <w:szCs w:val="28"/>
          <w:highlight w:val="none"/>
        </w:rPr>
        <w:t xml:space="preserve">сударственных услуг и работ, оказываемых и выполняемых государственными учреждениями и финансируемых за счет средств бюджета Республики Татарстан, в разрезе видов учреждений и отдельных государственных учреждений Республики Татарстан, утвержденному постано</w:t>
      </w:r>
      <w:r>
        <w:rPr>
          <w:rFonts w:ascii="Times New Roman" w:hAnsi="Times New Roman"/>
          <w:sz w:val="28"/>
          <w:szCs w:val="28"/>
          <w:highlight w:val="none"/>
        </w:rPr>
        <w:t xml:space="preserve">влением Кабинета Министров Республики Татарстан от 29.09.2015 № 726</w:t>
      </w:r>
      <w:r>
        <w:rPr>
          <w:rFonts w:ascii="Times New Roman" w:hAnsi="Times New Roman"/>
          <w:sz w:val="28"/>
          <w:szCs w:val="28"/>
          <w:highlight w:val="none"/>
        </w:rPr>
        <w:t xml:space="preserve"> (соответствующий проект постановления </w:t>
      </w:r>
      <w:r>
        <w:rPr>
          <w:rFonts w:ascii="Times New Roman" w:hAnsi="Times New Roman"/>
          <w:sz w:val="28"/>
          <w:szCs w:val="28"/>
          <w:highlight w:val="none"/>
        </w:rPr>
        <w:t xml:space="preserve">Кабинета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 внесен на рассмотрение </w:t>
      </w:r>
      <w:r>
        <w:rPr>
          <w:rFonts w:ascii="Times New Roman" w:hAnsi="Times New Roman"/>
          <w:sz w:val="28"/>
          <w:szCs w:val="28"/>
          <w:highlight w:val="none"/>
        </w:rPr>
        <w:t xml:space="preserve">Кабинета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 исх. </w:t>
      </w:r>
      <w:r>
        <w:rPr>
          <w:rFonts w:ascii="Times New Roman" w:hAnsi="Times New Roman"/>
          <w:sz w:val="28"/>
          <w:szCs w:val="28"/>
          <w:highlight w:val="none"/>
        </w:rPr>
        <w:t xml:space="preserve">25.06.2026</w:t>
      </w:r>
      <w:r>
        <w:rPr>
          <w:rFonts w:ascii="Times New Roman" w:hAnsi="Times New Roman"/>
          <w:sz w:val="28"/>
          <w:szCs w:val="28"/>
          <w:highlight w:val="none"/>
        </w:rPr>
        <w:t xml:space="preserve"> №</w:t>
      </w:r>
      <w:r>
        <w:rPr>
          <w:rFonts w:ascii="Times New Roman" w:hAnsi="Times New Roman"/>
          <w:sz w:val="28"/>
          <w:szCs w:val="28"/>
          <w:highlight w:val="none"/>
        </w:rPr>
        <w:t xml:space="preserve"> 01/1261</w:t>
      </w:r>
      <w:r>
        <w:rPr>
          <w:rFonts w:ascii="Times New Roman" w:hAnsi="Times New Roman"/>
          <w:sz w:val="28"/>
          <w:szCs w:val="28"/>
          <w:highlight w:val="none"/>
        </w:rPr>
        <w:t xml:space="preserve">).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143CA0D4">
      <w:pPr>
        <w:pStyle w:val="958"/>
        <w:pBdr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Проектом постановления Кабинета Министров Республики Татарстан вносятся изменения в нормативные затраты на государственные услуги и работы, оказываемые и выполняемые </w:t>
      </w:r>
      <w:r>
        <w:rPr>
          <w:rFonts w:ascii="Times New Roman" w:hAnsi="Times New Roman"/>
          <w:sz w:val="28"/>
          <w:szCs w:val="28"/>
          <w:highlight w:val="none"/>
        </w:rPr>
        <w:t xml:space="preserve">ГАУ «Росток»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58"/>
        <w:pBdr/>
        <w:spacing w:after="0" w:line="264" w:lineRule="auto"/>
        <w:ind w:firstLine="708"/>
        <w:jc w:val="both"/>
        <w:rPr/>
      </w:pPr>
      <w:r>
        <w:rPr>
          <w:rFonts w:ascii="Times New Roman" w:hAnsi="Times New Roman" w:cs="Arial"/>
          <w:sz w:val="28"/>
          <w:szCs w:val="28"/>
          <w:highlight w:val="non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/>
    </w:p>
    <w:p>
      <w:pPr>
        <w:pStyle w:val="958"/>
        <w:pBdr/>
        <w:spacing w:after="0" w:line="264" w:lineRule="auto"/>
        <w:ind w:firstLine="708"/>
        <w:jc w:val="both"/>
        <w:rPr/>
      </w:pPr>
      <w:r>
        <w:rPr>
          <w:rFonts w:ascii="Times New Roman" w:hAnsi="Times New Roman" w:cs="Arial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отсутствует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.</w:t>
      </w:r>
      <w:r/>
    </w:p>
    <w:p>
      <w:pPr>
        <w:pStyle w:val="958"/>
        <w:pBdr/>
        <w:spacing w:after="0" w:line="264" w:lineRule="auto"/>
        <w:ind w:firstLine="708"/>
        <w:jc w:val="both"/>
        <w:rPr>
          <w:rFonts w:ascii="Times New Roman" w:hAnsi="Times New Roman" w:cs="Arial"/>
          <w:sz w:val="28"/>
          <w:szCs w:val="28"/>
          <w:highlight w:val="none"/>
        </w:rPr>
      </w:pPr>
      <w:r>
        <w:rPr>
          <w:rFonts w:ascii="Times New Roman" w:hAnsi="Times New Roman" w:cs="Arial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Arial"/>
          <w:sz w:val="28"/>
          <w:szCs w:val="28"/>
          <w:highlight w:val="none"/>
        </w:rPr>
      </w:r>
      <w:r>
        <w:rPr>
          <w:rFonts w:ascii="Times New Roman" w:hAnsi="Times New Roman" w:cs="Arial"/>
          <w:sz w:val="28"/>
          <w:szCs w:val="28"/>
          <w:highlight w:val="none"/>
        </w:rPr>
      </w:r>
    </w:p>
    <w:sectPr>
      <w:headerReference w:type="default" r:id="rId10"/>
      <w:footnotePr/>
      <w:endnotePr/>
      <w:type w:val="nextPage"/>
      <w:pgSz w:h="16838" w:orient="portrait" w:w="11906"/>
      <w:pgMar w:top="1134" w:right="567" w:bottom="1134" w:left="1134" w:header="709" w:footer="13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5"/>
      <w:pBdr/>
      <w:spacing/>
      <w:ind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 xml:space="preserve">2</w:t>
    </w:r>
    <w:r>
      <w:fldChar w:fldCharType="end"/>
    </w:r>
    <w:r/>
  </w:p>
  <w:p>
    <w:pPr>
      <w:pStyle w:val="965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5"/>
      <w:pBdr/>
      <w:spacing/>
      <w:ind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 xml:space="preserve">2</w:t>
    </w:r>
    <w:r>
      <w:fldChar w:fldCharType="end"/>
    </w:r>
    <w:r/>
  </w:p>
  <w:p>
    <w:pPr>
      <w:pStyle w:val="965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8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25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8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360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43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468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540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1">
    <w:lvl w:ilvl="0">
      <w:isLgl w:val="false"/>
      <w:lvlJc w:val="left"/>
      <w:lvlText w:val="%1"/>
      <w:numFmt w:val="decimal"/>
      <w:pPr>
        <w:pBdr/>
        <w:spacing/>
        <w:ind w:hanging="360" w:left="1211"/>
      </w:pPr>
      <w:rPr/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3"/>
  </w:num>
  <w:num w:numId="5">
    <w:abstractNumId w:val="5"/>
  </w:num>
  <w:num w:numId="6">
    <w:abstractNumId w:val="10"/>
  </w:num>
  <w:num w:numId="7">
    <w:abstractNumId w:val="7"/>
  </w:num>
  <w:num w:numId="8">
    <w:abstractNumId w:val="13"/>
  </w:num>
  <w:num w:numId="9">
    <w:abstractNumId w:val="11"/>
  </w:num>
  <w:num w:numId="10">
    <w:abstractNumId w:val="12"/>
  </w:num>
  <w:num w:numId="11">
    <w:abstractNumId w:val="14"/>
  </w:num>
  <w:num w:numId="12">
    <w:abstractNumId w:val="2"/>
  </w:num>
  <w:num w:numId="13">
    <w:abstractNumId w:val="0"/>
  </w:num>
  <w:num w:numId="14">
    <w:abstractNumId w:val="15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9">
    <w:name w:val="Placeholder Text"/>
    <w:basedOn w:val="906"/>
    <w:uiPriority w:val="99"/>
    <w:semiHidden/>
    <w:pPr>
      <w:pBdr/>
      <w:spacing/>
      <w:ind/>
    </w:pPr>
    <w:rPr>
      <w:color w:val="666666"/>
    </w:rPr>
  </w:style>
  <w:style w:type="table" w:styleId="77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Table Grid"/>
    <w:basedOn w:val="7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Table Grid Light"/>
    <w:basedOn w:val="7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Plain Table 1"/>
    <w:basedOn w:val="7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Plain Table 2"/>
    <w:basedOn w:val="7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Plain Table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1 Light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1 Light - Accent 1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1 Light - Accent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1 Light - Accent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1 Light - Accent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1 Light - Accent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1 Light - Accent 6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2 - Accent 1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2 - Accent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2 - Accent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2 - Accent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2 - Accent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2 - Accent 6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3 - Accent 1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3 - Accent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3 - Accent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3 - Accent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3 - Accent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3 - Accent 6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4"/>
    <w:basedOn w:val="7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4 - Accent 1"/>
    <w:basedOn w:val="7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4 - Accent 2"/>
    <w:basedOn w:val="7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4 - Accent 3"/>
    <w:basedOn w:val="7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4 - Accent 4"/>
    <w:basedOn w:val="7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4 - Accent 5"/>
    <w:basedOn w:val="7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4 - Accent 6"/>
    <w:basedOn w:val="7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5 Dark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5 Dark- Accent 1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5 Dark - Accent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5 Dark - Accent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5 Dark- Accent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5 Dark - Accent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5 Dark - Accent 6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6 Colorful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6 Colorful - Accent 1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6 Colorful - Accent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6 Colorful - Accent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6 Colorful - Accent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6 Colorful - Accent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6 Colorful - Accent 6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7 Colorful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7 Colorful - Accent 1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7 Colorful - Accent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7 Colorful - Accent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7 Colorful - Accent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7 Colorful - Accent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7 Colorful - Accent 6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1 Light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1 Light - Accent 1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1 Light - Accent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1 Light - Accent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1 Light - Accent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1 Light - Accent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1 Light - Accent 6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2 - Accent 1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2 - Accent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2 - Accent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2 - Accent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2 - Accent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2 - Accent 6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3 - Accent 1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3 - Accent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3 - Accent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3 - Accent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3 - Accent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3 - Accent 6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4 - Accent 1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4 - Accent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4 - Accent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4 - Accent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4 - Accent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4 - Accent 6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5 Dark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5 Dark - Accent 1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5 Dark - Accent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5 Dark - Accent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5 Dark - Accent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5 Dark - Accent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5 Dark - Accent 6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6 Colorful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6 Colorful - Accent 1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6 Colorful - Accent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6 Colorful - Accent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6 Colorful - Accent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6 Colorful - Accent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6 Colorful - Accent 6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7 Colorful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7 Colorful - Accent 1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7 Colorful - Accent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7 Colorful - Accent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7 Colorful - Accent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7 Colorful - Accent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7 Colorful - Accent 6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ned - Accent"/>
    <w:basedOn w:val="7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ned - Accent 1"/>
    <w:basedOn w:val="7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ned - Accent 2"/>
    <w:basedOn w:val="7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ned - Accent 3"/>
    <w:basedOn w:val="7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ned - Accent 4"/>
    <w:basedOn w:val="7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ned - Accent 5"/>
    <w:basedOn w:val="7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ned - Accent 6"/>
    <w:basedOn w:val="7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&amp; Lined - Accent"/>
    <w:basedOn w:val="7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 &amp; Lined - Accent 1"/>
    <w:basedOn w:val="7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&amp; Lined - Accent 2"/>
    <w:basedOn w:val="7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&amp; Lined - Accent 3"/>
    <w:basedOn w:val="7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&amp; Lined - Accent 4"/>
    <w:basedOn w:val="7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&amp; Lined - Accent 5"/>
    <w:basedOn w:val="7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&amp; Lined - Accent 6"/>
    <w:basedOn w:val="7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- Accent 1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 - Accent 2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- Accent 3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- Accent 4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- Accent 5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- Accent 6"/>
    <w:basedOn w:val="7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7">
    <w:name w:val="Heading 1"/>
    <w:basedOn w:val="958"/>
    <w:next w:val="958"/>
    <w:link w:val="90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98">
    <w:name w:val="Heading 2"/>
    <w:basedOn w:val="958"/>
    <w:next w:val="958"/>
    <w:link w:val="90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99">
    <w:name w:val="Heading 3"/>
    <w:basedOn w:val="958"/>
    <w:next w:val="958"/>
    <w:link w:val="91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00">
    <w:name w:val="Heading 4"/>
    <w:basedOn w:val="958"/>
    <w:next w:val="958"/>
    <w:link w:val="91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01">
    <w:name w:val="Heading 5"/>
    <w:basedOn w:val="958"/>
    <w:next w:val="958"/>
    <w:link w:val="91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02">
    <w:name w:val="Heading 6"/>
    <w:basedOn w:val="958"/>
    <w:next w:val="958"/>
    <w:link w:val="91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03">
    <w:name w:val="Heading 7"/>
    <w:basedOn w:val="958"/>
    <w:next w:val="958"/>
    <w:link w:val="91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04">
    <w:name w:val="Heading 8"/>
    <w:basedOn w:val="958"/>
    <w:next w:val="958"/>
    <w:link w:val="91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05">
    <w:name w:val="Heading 9"/>
    <w:basedOn w:val="958"/>
    <w:next w:val="958"/>
    <w:link w:val="91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06" w:default="1">
    <w:name w:val="Default Paragraph Font"/>
    <w:uiPriority w:val="1"/>
    <w:semiHidden/>
    <w:unhideWhenUsed/>
    <w:pPr>
      <w:pBdr/>
      <w:spacing/>
      <w:ind/>
    </w:pPr>
  </w:style>
  <w:style w:type="numbering" w:styleId="907" w:default="1">
    <w:name w:val="No List"/>
    <w:uiPriority w:val="99"/>
    <w:semiHidden/>
    <w:unhideWhenUsed/>
    <w:pPr>
      <w:pBdr/>
      <w:spacing/>
      <w:ind/>
    </w:pPr>
  </w:style>
  <w:style w:type="character" w:styleId="908">
    <w:name w:val="Heading 1 Char"/>
    <w:basedOn w:val="906"/>
    <w:link w:val="89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09">
    <w:name w:val="Heading 2 Char"/>
    <w:basedOn w:val="906"/>
    <w:link w:val="8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10">
    <w:name w:val="Heading 3 Char"/>
    <w:basedOn w:val="906"/>
    <w:link w:val="8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11">
    <w:name w:val="Heading 4 Char"/>
    <w:basedOn w:val="906"/>
    <w:link w:val="90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12">
    <w:name w:val="Heading 5 Char"/>
    <w:basedOn w:val="906"/>
    <w:link w:val="9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13">
    <w:name w:val="Heading 6 Char"/>
    <w:basedOn w:val="906"/>
    <w:link w:val="90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14">
    <w:name w:val="Heading 7 Char"/>
    <w:basedOn w:val="906"/>
    <w:link w:val="90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15">
    <w:name w:val="Heading 8 Char"/>
    <w:basedOn w:val="906"/>
    <w:link w:val="90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6">
    <w:name w:val="Heading 9 Char"/>
    <w:basedOn w:val="906"/>
    <w:link w:val="90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7">
    <w:name w:val="Title"/>
    <w:basedOn w:val="958"/>
    <w:next w:val="958"/>
    <w:link w:val="91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8">
    <w:name w:val="Title Char"/>
    <w:basedOn w:val="906"/>
    <w:link w:val="91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9">
    <w:name w:val="Subtitle"/>
    <w:basedOn w:val="958"/>
    <w:next w:val="958"/>
    <w:link w:val="92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20">
    <w:name w:val="Subtitle Char"/>
    <w:basedOn w:val="906"/>
    <w:link w:val="91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21">
    <w:name w:val="Quote"/>
    <w:basedOn w:val="958"/>
    <w:next w:val="958"/>
    <w:link w:val="92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22">
    <w:name w:val="Quote Char"/>
    <w:basedOn w:val="906"/>
    <w:link w:val="921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23">
    <w:name w:val="List Paragraph"/>
    <w:basedOn w:val="958"/>
    <w:uiPriority w:val="34"/>
    <w:qFormat/>
    <w:pPr>
      <w:pBdr/>
      <w:spacing/>
      <w:ind w:left="720"/>
      <w:contextualSpacing w:val="true"/>
    </w:pPr>
  </w:style>
  <w:style w:type="character" w:styleId="924">
    <w:name w:val="Intense Emphasis"/>
    <w:basedOn w:val="90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25">
    <w:name w:val="Intense Quote"/>
    <w:basedOn w:val="958"/>
    <w:next w:val="958"/>
    <w:link w:val="92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26">
    <w:name w:val="Intense Quote Char"/>
    <w:basedOn w:val="906"/>
    <w:link w:val="92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27">
    <w:name w:val="Intense Reference"/>
    <w:basedOn w:val="90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28">
    <w:name w:val="No Spacing"/>
    <w:basedOn w:val="958"/>
    <w:uiPriority w:val="1"/>
    <w:qFormat/>
    <w:pPr>
      <w:pBdr/>
      <w:spacing w:after="0" w:line="240" w:lineRule="auto"/>
      <w:ind/>
    </w:pPr>
  </w:style>
  <w:style w:type="character" w:styleId="929">
    <w:name w:val="Subtle Emphasis"/>
    <w:basedOn w:val="90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30">
    <w:name w:val="Emphasis"/>
    <w:basedOn w:val="906"/>
    <w:uiPriority w:val="20"/>
    <w:qFormat/>
    <w:pPr>
      <w:pBdr/>
      <w:spacing/>
      <w:ind/>
    </w:pPr>
    <w:rPr>
      <w:i/>
      <w:iCs/>
    </w:rPr>
  </w:style>
  <w:style w:type="character" w:styleId="931">
    <w:name w:val="Strong"/>
    <w:basedOn w:val="906"/>
    <w:uiPriority w:val="22"/>
    <w:qFormat/>
    <w:pPr>
      <w:pBdr/>
      <w:spacing/>
      <w:ind/>
    </w:pPr>
    <w:rPr>
      <w:b/>
      <w:bCs/>
    </w:rPr>
  </w:style>
  <w:style w:type="character" w:styleId="932">
    <w:name w:val="Subtle Reference"/>
    <w:basedOn w:val="90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33">
    <w:name w:val="Book Title"/>
    <w:basedOn w:val="90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34">
    <w:name w:val="Header"/>
    <w:basedOn w:val="958"/>
    <w:link w:val="93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35">
    <w:name w:val="Header Char"/>
    <w:basedOn w:val="906"/>
    <w:link w:val="934"/>
    <w:uiPriority w:val="99"/>
    <w:pPr>
      <w:pBdr/>
      <w:spacing/>
      <w:ind/>
    </w:pPr>
  </w:style>
  <w:style w:type="paragraph" w:styleId="936">
    <w:name w:val="Footer"/>
    <w:basedOn w:val="958"/>
    <w:link w:val="93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37">
    <w:name w:val="Footer Char"/>
    <w:basedOn w:val="906"/>
    <w:link w:val="936"/>
    <w:uiPriority w:val="99"/>
    <w:pPr>
      <w:pBdr/>
      <w:spacing/>
      <w:ind/>
    </w:pPr>
  </w:style>
  <w:style w:type="paragraph" w:styleId="938">
    <w:name w:val="Caption"/>
    <w:basedOn w:val="958"/>
    <w:next w:val="95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39">
    <w:name w:val="footnote text"/>
    <w:basedOn w:val="958"/>
    <w:link w:val="94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0">
    <w:name w:val="Footnote Text Char"/>
    <w:basedOn w:val="906"/>
    <w:link w:val="939"/>
    <w:uiPriority w:val="99"/>
    <w:semiHidden/>
    <w:pPr>
      <w:pBdr/>
      <w:spacing/>
      <w:ind/>
    </w:pPr>
    <w:rPr>
      <w:sz w:val="20"/>
      <w:szCs w:val="20"/>
    </w:rPr>
  </w:style>
  <w:style w:type="character" w:styleId="941">
    <w:name w:val="footnote reference"/>
    <w:basedOn w:val="906"/>
    <w:uiPriority w:val="99"/>
    <w:semiHidden/>
    <w:unhideWhenUsed/>
    <w:pPr>
      <w:pBdr/>
      <w:spacing/>
      <w:ind/>
    </w:pPr>
    <w:rPr>
      <w:vertAlign w:val="superscript"/>
    </w:rPr>
  </w:style>
  <w:style w:type="paragraph" w:styleId="942">
    <w:name w:val="endnote text"/>
    <w:basedOn w:val="958"/>
    <w:link w:val="94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3">
    <w:name w:val="Endnote Text Char"/>
    <w:basedOn w:val="906"/>
    <w:link w:val="942"/>
    <w:uiPriority w:val="99"/>
    <w:semiHidden/>
    <w:pPr>
      <w:pBdr/>
      <w:spacing/>
      <w:ind/>
    </w:pPr>
    <w:rPr>
      <w:sz w:val="20"/>
      <w:szCs w:val="20"/>
    </w:rPr>
  </w:style>
  <w:style w:type="character" w:styleId="944">
    <w:name w:val="endnote reference"/>
    <w:basedOn w:val="906"/>
    <w:uiPriority w:val="99"/>
    <w:semiHidden/>
    <w:unhideWhenUsed/>
    <w:pPr>
      <w:pBdr/>
      <w:spacing/>
      <w:ind/>
    </w:pPr>
    <w:rPr>
      <w:vertAlign w:val="superscript"/>
    </w:rPr>
  </w:style>
  <w:style w:type="character" w:styleId="945">
    <w:name w:val="Hyperlink"/>
    <w:basedOn w:val="90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46">
    <w:name w:val="FollowedHyperlink"/>
    <w:basedOn w:val="90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47">
    <w:name w:val="toc 1"/>
    <w:basedOn w:val="958"/>
    <w:next w:val="958"/>
    <w:uiPriority w:val="39"/>
    <w:unhideWhenUsed/>
    <w:pPr>
      <w:pBdr/>
      <w:spacing w:after="100"/>
      <w:ind/>
    </w:pPr>
  </w:style>
  <w:style w:type="paragraph" w:styleId="948">
    <w:name w:val="toc 2"/>
    <w:basedOn w:val="958"/>
    <w:next w:val="958"/>
    <w:uiPriority w:val="39"/>
    <w:unhideWhenUsed/>
    <w:pPr>
      <w:pBdr/>
      <w:spacing w:after="100"/>
      <w:ind w:left="220"/>
    </w:pPr>
  </w:style>
  <w:style w:type="paragraph" w:styleId="949">
    <w:name w:val="toc 3"/>
    <w:basedOn w:val="958"/>
    <w:next w:val="958"/>
    <w:uiPriority w:val="39"/>
    <w:unhideWhenUsed/>
    <w:pPr>
      <w:pBdr/>
      <w:spacing w:after="100"/>
      <w:ind w:left="440"/>
    </w:pPr>
  </w:style>
  <w:style w:type="paragraph" w:styleId="950">
    <w:name w:val="toc 4"/>
    <w:basedOn w:val="958"/>
    <w:next w:val="958"/>
    <w:uiPriority w:val="39"/>
    <w:unhideWhenUsed/>
    <w:pPr>
      <w:pBdr/>
      <w:spacing w:after="100"/>
      <w:ind w:left="660"/>
    </w:pPr>
  </w:style>
  <w:style w:type="paragraph" w:styleId="951">
    <w:name w:val="toc 5"/>
    <w:basedOn w:val="958"/>
    <w:next w:val="958"/>
    <w:uiPriority w:val="39"/>
    <w:unhideWhenUsed/>
    <w:pPr>
      <w:pBdr/>
      <w:spacing w:after="100"/>
      <w:ind w:left="880"/>
    </w:pPr>
  </w:style>
  <w:style w:type="paragraph" w:styleId="952">
    <w:name w:val="toc 6"/>
    <w:basedOn w:val="958"/>
    <w:next w:val="958"/>
    <w:uiPriority w:val="39"/>
    <w:unhideWhenUsed/>
    <w:pPr>
      <w:pBdr/>
      <w:spacing w:after="100"/>
      <w:ind w:left="1100"/>
    </w:pPr>
  </w:style>
  <w:style w:type="paragraph" w:styleId="953">
    <w:name w:val="toc 7"/>
    <w:basedOn w:val="958"/>
    <w:next w:val="958"/>
    <w:uiPriority w:val="39"/>
    <w:unhideWhenUsed/>
    <w:pPr>
      <w:pBdr/>
      <w:spacing w:after="100"/>
      <w:ind w:left="1320"/>
    </w:pPr>
  </w:style>
  <w:style w:type="paragraph" w:styleId="954">
    <w:name w:val="toc 8"/>
    <w:basedOn w:val="958"/>
    <w:next w:val="958"/>
    <w:uiPriority w:val="39"/>
    <w:unhideWhenUsed/>
    <w:pPr>
      <w:pBdr/>
      <w:spacing w:after="100"/>
      <w:ind w:left="1540"/>
    </w:pPr>
  </w:style>
  <w:style w:type="paragraph" w:styleId="955">
    <w:name w:val="toc 9"/>
    <w:basedOn w:val="958"/>
    <w:next w:val="958"/>
    <w:uiPriority w:val="39"/>
    <w:unhideWhenUsed/>
    <w:pPr>
      <w:pBdr/>
      <w:spacing w:after="100"/>
      <w:ind w:left="1760"/>
    </w:pPr>
  </w:style>
  <w:style w:type="paragraph" w:styleId="956">
    <w:name w:val="TOC Heading"/>
    <w:uiPriority w:val="39"/>
    <w:unhideWhenUsed/>
    <w:pPr>
      <w:pBdr/>
      <w:spacing/>
      <w:ind/>
    </w:pPr>
  </w:style>
  <w:style w:type="paragraph" w:styleId="957">
    <w:name w:val="table of figures"/>
    <w:basedOn w:val="958"/>
    <w:next w:val="958"/>
    <w:uiPriority w:val="99"/>
    <w:unhideWhenUsed/>
    <w:pPr>
      <w:pBdr/>
      <w:spacing w:after="0" w:afterAutospacing="0"/>
      <w:ind/>
    </w:pPr>
  </w:style>
  <w:style w:type="paragraph" w:styleId="958" w:default="1">
    <w:name w:val="Normal"/>
    <w:next w:val="958"/>
    <w:link w:val="958"/>
    <w:qFormat/>
    <w:pPr>
      <w:pBdr/>
      <w:spacing w:after="200" w:line="276" w:lineRule="auto"/>
      <w:ind/>
    </w:pPr>
    <w:rPr>
      <w:sz w:val="22"/>
      <w:szCs w:val="22"/>
      <w:lang w:val="ru-RU" w:eastAsia="en-US" w:bidi="ar-SA"/>
    </w:rPr>
  </w:style>
  <w:style w:type="character" w:styleId="959">
    <w:name w:val="Основной шрифт абзаца"/>
    <w:next w:val="959"/>
    <w:link w:val="958"/>
    <w:uiPriority w:val="1"/>
    <w:unhideWhenUsed/>
    <w:pPr>
      <w:pBdr/>
      <w:spacing/>
      <w:ind/>
    </w:pPr>
  </w:style>
  <w:style w:type="table" w:styleId="960">
    <w:name w:val="Обычная таблица"/>
    <w:next w:val="960"/>
    <w:link w:val="958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1">
    <w:name w:val="Нет списка"/>
    <w:next w:val="961"/>
    <w:link w:val="958"/>
    <w:uiPriority w:val="99"/>
    <w:semiHidden/>
    <w:unhideWhenUsed/>
    <w:pPr>
      <w:pBdr/>
      <w:spacing/>
      <w:ind/>
    </w:pPr>
  </w:style>
  <w:style w:type="paragraph" w:styleId="962">
    <w:name w:val="Абзац списка"/>
    <w:basedOn w:val="958"/>
    <w:next w:val="962"/>
    <w:link w:val="958"/>
    <w:uiPriority w:val="34"/>
    <w:qFormat/>
    <w:pPr>
      <w:pBdr/>
      <w:spacing/>
      <w:ind w:left="720"/>
      <w:contextualSpacing w:val="true"/>
    </w:pPr>
  </w:style>
  <w:style w:type="table" w:styleId="963">
    <w:name w:val="Сетка таблицы"/>
    <w:basedOn w:val="960"/>
    <w:next w:val="963"/>
    <w:link w:val="958"/>
    <w:uiPriority w:val="59"/>
    <w:pPr>
      <w:pBdr/>
      <w:spacing w:after="0" w:line="240" w:lineRule="auto"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64">
    <w:name w:val="ConsPlusNormal"/>
    <w:next w:val="964"/>
    <w:link w:val="958"/>
    <w:pPr>
      <w:widowControl w:val="false"/>
      <w:pBdr/>
      <w:spacing/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965">
    <w:name w:val="Верхний колонтитул"/>
    <w:basedOn w:val="958"/>
    <w:next w:val="965"/>
    <w:link w:val="966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sz w:val="20"/>
      <w:szCs w:val="20"/>
      <w:lang w:val="en-US" w:eastAsia="en-US"/>
    </w:rPr>
  </w:style>
  <w:style w:type="character" w:styleId="966">
    <w:name w:val="Верхний колонтитул Знак"/>
    <w:next w:val="966"/>
    <w:link w:val="965"/>
    <w:uiPriority w:val="99"/>
    <w:pPr>
      <w:pBdr/>
      <w:spacing/>
      <w:ind/>
    </w:pPr>
    <w:rPr>
      <w:rFonts w:ascii="Calibri" w:hAnsi="Calibri" w:eastAsia="Calibri" w:cs="Times New Roman"/>
    </w:rPr>
  </w:style>
  <w:style w:type="paragraph" w:styleId="967">
    <w:name w:val="Нижний колонтитул"/>
    <w:basedOn w:val="958"/>
    <w:next w:val="967"/>
    <w:link w:val="968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68">
    <w:name w:val="Нижний колонтитул Знак"/>
    <w:basedOn w:val="959"/>
    <w:next w:val="968"/>
    <w:link w:val="967"/>
    <w:uiPriority w:val="99"/>
    <w:pPr>
      <w:pBdr/>
      <w:spacing/>
      <w:ind/>
    </w:pPr>
  </w:style>
  <w:style w:type="paragraph" w:styleId="969">
    <w:name w:val="Текст выноски"/>
    <w:basedOn w:val="958"/>
    <w:next w:val="969"/>
    <w:link w:val="970"/>
    <w:uiPriority w:val="99"/>
    <w:semiHidden/>
    <w:unhideWhenUsed/>
    <w:pPr>
      <w:pBdr/>
      <w:spacing w:after="0" w:line="240" w:lineRule="auto"/>
      <w:ind/>
    </w:pPr>
    <w:rPr>
      <w:rFonts w:ascii="Tahoma" w:hAnsi="Tahoma"/>
      <w:sz w:val="16"/>
      <w:szCs w:val="16"/>
      <w:lang w:val="en-US" w:eastAsia="en-US"/>
    </w:rPr>
  </w:style>
  <w:style w:type="character" w:styleId="970">
    <w:name w:val="Текст выноски Знак"/>
    <w:next w:val="970"/>
    <w:link w:val="969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71">
    <w:name w:val="ConsPlusCell"/>
    <w:next w:val="971"/>
    <w:link w:val="958"/>
    <w:uiPriority w:val="99"/>
    <w:pPr>
      <w:widowControl w:val="false"/>
      <w:pBdr/>
      <w:spacing/>
      <w:ind/>
    </w:pPr>
    <w:rPr>
      <w:rFonts w:ascii="Arial" w:hAnsi="Arial" w:eastAsia="Times New Roman" w:cs="Arial"/>
      <w:lang w:val="ru-RU" w:eastAsia="ru-RU" w:bidi="ar-SA"/>
    </w:rPr>
  </w:style>
  <w:style w:type="paragraph" w:styleId="972">
    <w:name w:val="ConsPlusNonformat"/>
    <w:next w:val="972"/>
    <w:link w:val="958"/>
    <w:pPr>
      <w:pBdr/>
      <w:spacing/>
      <w:ind/>
    </w:pPr>
    <w:rPr>
      <w:rFonts w:ascii="Courier New" w:hAnsi="Courier New" w:eastAsia="Times New Roman" w:cs="Courier New"/>
      <w:lang w:val="ru-RU" w:eastAsia="ru-RU" w:bidi="ar-SA"/>
    </w:rPr>
  </w:style>
  <w:style w:type="character" w:styleId="973">
    <w:name w:val="Гиперссылка"/>
    <w:next w:val="973"/>
    <w:link w:val="958"/>
    <w:uiPriority w:val="99"/>
    <w:unhideWhenUsed/>
    <w:pPr>
      <w:pBdr/>
      <w:spacing/>
      <w:ind/>
    </w:pPr>
    <w:rPr>
      <w:color w:val="0563c1"/>
      <w:u w:val="single"/>
    </w:rPr>
  </w:style>
  <w:style w:type="numbering" w:styleId="974">
    <w:name w:val="Нет списка1"/>
    <w:next w:val="961"/>
    <w:link w:val="958"/>
    <w:uiPriority w:val="99"/>
    <w:semiHidden/>
    <w:unhideWhenUsed/>
    <w:pPr>
      <w:pBdr/>
      <w:spacing/>
      <w:ind/>
    </w:pPr>
  </w:style>
  <w:style w:type="table" w:styleId="975">
    <w:name w:val="Сетка таблицы1"/>
    <w:basedOn w:val="960"/>
    <w:next w:val="963"/>
    <w:link w:val="958"/>
    <w:uiPriority w:val="5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76">
    <w:name w:val="Просмотренная гиперссылка"/>
    <w:next w:val="976"/>
    <w:link w:val="958"/>
    <w:uiPriority w:val="99"/>
    <w:semiHidden/>
    <w:unhideWhenUsed/>
    <w:pPr>
      <w:pBdr/>
      <w:spacing/>
      <w:ind/>
    </w:pPr>
    <w:rPr>
      <w:color w:val="954f72"/>
      <w:u w:val="single"/>
    </w:rPr>
  </w:style>
  <w:style w:type="paragraph" w:styleId="977">
    <w:name w:val="xl65"/>
    <w:basedOn w:val="958"/>
    <w:next w:val="977"/>
    <w:link w:val="95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78">
    <w:name w:val="xl66"/>
    <w:basedOn w:val="958"/>
    <w:next w:val="978"/>
    <w:link w:val="958"/>
    <w:pPr>
      <w:pBdr>
        <w:top w:val="single" w:color="000000" w:sz="4" w:space="0"/>
        <w:left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79">
    <w:name w:val="xl67"/>
    <w:basedOn w:val="958"/>
    <w:next w:val="979"/>
    <w:link w:val="958"/>
    <w:pPr>
      <w:pBdr>
        <w:left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80">
    <w:name w:val="xl68"/>
    <w:basedOn w:val="958"/>
    <w:next w:val="980"/>
    <w:link w:val="958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81">
    <w:name w:val="xl69"/>
    <w:basedOn w:val="958"/>
    <w:next w:val="981"/>
    <w:link w:val="958"/>
    <w:pPr>
      <w:pBdr>
        <w:left w:val="single" w:color="000000" w:sz="4" w:space="0"/>
        <w:right w:val="single" w:color="000000" w:sz="4" w:space="0"/>
      </w:pBdr>
      <w:shd w:val="clear" w:color="000000" w:fill="8497b0"/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82">
    <w:name w:val="xl70"/>
    <w:basedOn w:val="958"/>
    <w:next w:val="982"/>
    <w:link w:val="958"/>
    <w:pPr>
      <w:pBdr>
        <w:left w:val="single" w:color="000000" w:sz="4" w:space="0"/>
        <w:right w:val="single" w:color="000000" w:sz="4" w:space="0"/>
      </w:pBdr>
      <w:shd w:val="clear" w:color="000000" w:fill="33cc33"/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83">
    <w:name w:val="xl71"/>
    <w:basedOn w:val="958"/>
    <w:next w:val="983"/>
    <w:link w:val="958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84">
    <w:name w:val="xl72"/>
    <w:basedOn w:val="958"/>
    <w:next w:val="984"/>
    <w:link w:val="958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85">
    <w:name w:val="xl73"/>
    <w:basedOn w:val="958"/>
    <w:next w:val="985"/>
    <w:link w:val="958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86">
    <w:name w:val="xl74"/>
    <w:basedOn w:val="958"/>
    <w:next w:val="986"/>
    <w:link w:val="958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87">
    <w:name w:val="xl75"/>
    <w:basedOn w:val="958"/>
    <w:next w:val="987"/>
    <w:link w:val="958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88">
    <w:name w:val="xl76"/>
    <w:basedOn w:val="958"/>
    <w:next w:val="988"/>
    <w:link w:val="958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89">
    <w:name w:val="xl77"/>
    <w:basedOn w:val="958"/>
    <w:next w:val="989"/>
    <w:link w:val="958"/>
    <w:pPr>
      <w:pBdr>
        <w:top w:val="single" w:color="000000" w:sz="4" w:space="0"/>
        <w:lef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0">
    <w:name w:val="xl78"/>
    <w:basedOn w:val="958"/>
    <w:next w:val="990"/>
    <w:link w:val="95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1">
    <w:name w:val="xl79"/>
    <w:basedOn w:val="958"/>
    <w:next w:val="991"/>
    <w:link w:val="95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numbering" w:styleId="992">
    <w:name w:val="Нет списка2"/>
    <w:next w:val="961"/>
    <w:link w:val="958"/>
    <w:uiPriority w:val="99"/>
    <w:semiHidden/>
    <w:unhideWhenUsed/>
    <w:pPr>
      <w:pBdr/>
      <w:spacing/>
      <w:ind/>
    </w:pPr>
  </w:style>
  <w:style w:type="paragraph" w:styleId="993">
    <w:name w:val="xl80"/>
    <w:basedOn w:val="958"/>
    <w:next w:val="993"/>
    <w:link w:val="95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4">
    <w:name w:val="xl81"/>
    <w:basedOn w:val="958"/>
    <w:next w:val="994"/>
    <w:link w:val="95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32"/>
      <w:szCs w:val="32"/>
      <w:lang w:eastAsia="ru-RU"/>
    </w:rPr>
  </w:style>
  <w:style w:type="paragraph" w:styleId="995">
    <w:name w:val="xl82"/>
    <w:basedOn w:val="958"/>
    <w:next w:val="995"/>
    <w:link w:val="958"/>
    <w:pPr>
      <w:pBdr>
        <w:top w:val="single" w:color="000000" w:sz="4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6">
    <w:name w:val="xl83"/>
    <w:basedOn w:val="958"/>
    <w:next w:val="996"/>
    <w:link w:val="958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32"/>
      <w:szCs w:val="32"/>
      <w:lang w:eastAsia="ru-RU"/>
    </w:rPr>
  </w:style>
  <w:style w:type="paragraph" w:styleId="997">
    <w:name w:val="xl84"/>
    <w:basedOn w:val="958"/>
    <w:next w:val="997"/>
    <w:link w:val="958"/>
    <w:pPr>
      <w:pBdr>
        <w:top w:val="single" w:color="000000" w:sz="4" w:space="0"/>
        <w:left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8">
    <w:name w:val="xl85"/>
    <w:basedOn w:val="958"/>
    <w:next w:val="998"/>
    <w:link w:val="958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9">
    <w:name w:val="xl86"/>
    <w:basedOn w:val="958"/>
    <w:next w:val="999"/>
    <w:link w:val="958"/>
    <w:pPr>
      <w:pBdr>
        <w:top w:val="single" w:color="000000" w:sz="8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0">
    <w:name w:val="xl87"/>
    <w:basedOn w:val="958"/>
    <w:next w:val="1000"/>
    <w:link w:val="958"/>
    <w:pPr>
      <w:pBdr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1">
    <w:name w:val="xl88"/>
    <w:basedOn w:val="958"/>
    <w:next w:val="1001"/>
    <w:link w:val="958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2">
    <w:name w:val="xl89"/>
    <w:basedOn w:val="958"/>
    <w:next w:val="1002"/>
    <w:link w:val="958"/>
    <w:pPr>
      <w:pBdr>
        <w:top w:val="single" w:color="000000" w:sz="4" w:space="0"/>
        <w:left w:val="single" w:color="000000" w:sz="8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3">
    <w:name w:val="xl90"/>
    <w:basedOn w:val="958"/>
    <w:next w:val="1003"/>
    <w:link w:val="958"/>
    <w:pPr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4">
    <w:name w:val="xl91"/>
    <w:basedOn w:val="958"/>
    <w:next w:val="1004"/>
    <w:link w:val="958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5">
    <w:name w:val="xl92"/>
    <w:basedOn w:val="958"/>
    <w:next w:val="1005"/>
    <w:link w:val="95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6">
    <w:name w:val="xl93"/>
    <w:basedOn w:val="958"/>
    <w:next w:val="1006"/>
    <w:link w:val="958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7">
    <w:name w:val="xl94"/>
    <w:basedOn w:val="958"/>
    <w:next w:val="1007"/>
    <w:link w:val="958"/>
    <w:pPr>
      <w:pBdr>
        <w:top w:val="single" w:color="000000" w:sz="8" w:space="0"/>
        <w:left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8">
    <w:name w:val="xl95"/>
    <w:basedOn w:val="958"/>
    <w:next w:val="1008"/>
    <w:link w:val="958"/>
    <w:pPr>
      <w:pBdr>
        <w:left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9">
    <w:name w:val="xl96"/>
    <w:basedOn w:val="958"/>
    <w:next w:val="1009"/>
    <w:link w:val="958"/>
    <w:pPr>
      <w:pBdr>
        <w:left w:val="single" w:color="000000" w:sz="8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0">
    <w:name w:val="xl97"/>
    <w:basedOn w:val="958"/>
    <w:next w:val="1010"/>
    <w:link w:val="958"/>
    <w:pPr>
      <w:pBdr>
        <w:top w:val="single" w:color="000000" w:sz="8" w:space="0"/>
        <w:left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1">
    <w:name w:val="xl98"/>
    <w:basedOn w:val="958"/>
    <w:next w:val="1011"/>
    <w:link w:val="958"/>
    <w:pPr>
      <w:pBdr>
        <w:left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2">
    <w:name w:val="xl99"/>
    <w:basedOn w:val="958"/>
    <w:next w:val="1012"/>
    <w:link w:val="958"/>
    <w:pPr>
      <w:pBdr>
        <w:left w:val="single" w:color="000000" w:sz="4" w:space="0"/>
        <w:bottom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3">
    <w:name w:val="xl100"/>
    <w:basedOn w:val="958"/>
    <w:next w:val="1013"/>
    <w:link w:val="958"/>
    <w:pPr>
      <w:pBdr>
        <w:top w:val="single" w:color="000000" w:sz="8" w:space="0"/>
        <w:left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4">
    <w:name w:val="xl101"/>
    <w:basedOn w:val="958"/>
    <w:next w:val="1014"/>
    <w:link w:val="958"/>
    <w:pPr>
      <w:pBdr>
        <w:left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5">
    <w:name w:val="xl102"/>
    <w:basedOn w:val="958"/>
    <w:next w:val="1015"/>
    <w:link w:val="958"/>
    <w:pPr>
      <w:pBdr>
        <w:lef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numbering" w:styleId="1016">
    <w:name w:val="Нет списка3"/>
    <w:next w:val="961"/>
    <w:link w:val="958"/>
    <w:uiPriority w:val="99"/>
    <w:semiHidden/>
    <w:unhideWhenUsed/>
    <w:pPr>
      <w:pBdr/>
      <w:spacing/>
      <w:ind/>
    </w:pPr>
  </w:style>
  <w:style w:type="table" w:styleId="1017">
    <w:name w:val="Сетка таблицы2"/>
    <w:basedOn w:val="960"/>
    <w:next w:val="963"/>
    <w:link w:val="958"/>
    <w:uiPriority w:val="5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18">
    <w:name w:val="Нет списка11"/>
    <w:next w:val="961"/>
    <w:link w:val="958"/>
    <w:uiPriority w:val="99"/>
    <w:semiHidden/>
    <w:unhideWhenUsed/>
    <w:pPr>
      <w:pBdr/>
      <w:spacing/>
      <w:ind/>
    </w:pPr>
  </w:style>
  <w:style w:type="table" w:styleId="1019">
    <w:name w:val="Сетка таблицы11"/>
    <w:basedOn w:val="960"/>
    <w:next w:val="963"/>
    <w:link w:val="958"/>
    <w:uiPriority w:val="5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20">
    <w:name w:val="Нет списка21"/>
    <w:next w:val="961"/>
    <w:link w:val="958"/>
    <w:uiPriority w:val="99"/>
    <w:semiHidden/>
    <w:unhideWhenUsed/>
    <w:pPr>
      <w:pBdr/>
      <w:spacing/>
      <w:ind/>
    </w:pPr>
  </w:style>
  <w:style w:type="paragraph" w:styleId="1021">
    <w:name w:val="msonormal"/>
    <w:basedOn w:val="958"/>
    <w:next w:val="1021"/>
    <w:link w:val="958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022">
    <w:name w:val="xl64"/>
    <w:basedOn w:val="958"/>
    <w:next w:val="1022"/>
    <w:link w:val="958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023">
    <w:name w:val="xl103"/>
    <w:basedOn w:val="958"/>
    <w:next w:val="1023"/>
    <w:link w:val="95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99ffcc"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24">
    <w:name w:val="xl104"/>
    <w:basedOn w:val="958"/>
    <w:next w:val="1024"/>
    <w:link w:val="958"/>
    <w:pPr>
      <w:pBdr>
        <w:left w:val="single" w:color="000000" w:sz="8" w:space="0"/>
        <w:bottom w:val="single" w:color="000000" w:sz="4" w:space="0"/>
        <w:right w:val="single" w:color="000000" w:sz="4" w:space="0"/>
      </w:pBdr>
      <w:shd w:val="clear" w:color="000000" w:fill="ccff66"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25">
    <w:name w:val="xl105"/>
    <w:basedOn w:val="958"/>
    <w:next w:val="1025"/>
    <w:link w:val="958"/>
    <w:pPr>
      <w:pBdr>
        <w:bottom w:val="single" w:color="000000" w:sz="4" w:space="0"/>
        <w:right w:val="single" w:color="000000" w:sz="4" w:space="0"/>
      </w:pBdr>
      <w:shd w:val="clear" w:color="000000" w:fill="ccff66"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26">
    <w:name w:val="xl106"/>
    <w:basedOn w:val="958"/>
    <w:next w:val="1026"/>
    <w:link w:val="958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hd w:val="clear" w:color="000000" w:fill="ccff66"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27">
    <w:name w:val="xl107"/>
    <w:basedOn w:val="958"/>
    <w:next w:val="1027"/>
    <w:link w:val="95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ccff66"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28">
    <w:name w:val="xl108"/>
    <w:basedOn w:val="958"/>
    <w:next w:val="1028"/>
    <w:link w:val="95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ccff66"/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29">
    <w:name w:val="xl109"/>
    <w:basedOn w:val="958"/>
    <w:next w:val="1029"/>
    <w:link w:val="958"/>
    <w:pPr>
      <w:pBdr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ccff66"/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0">
    <w:name w:val="xl110"/>
    <w:basedOn w:val="958"/>
    <w:next w:val="1030"/>
    <w:link w:val="958"/>
    <w:pPr>
      <w:pBdr>
        <w:top w:val="single" w:color="000000" w:sz="8" w:space="0"/>
        <w:left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1">
    <w:name w:val="xl111"/>
    <w:basedOn w:val="958"/>
    <w:next w:val="1031"/>
    <w:link w:val="958"/>
    <w:pPr>
      <w:pBdr>
        <w:left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2">
    <w:name w:val="xl112"/>
    <w:basedOn w:val="958"/>
    <w:next w:val="1032"/>
    <w:link w:val="958"/>
    <w:pPr>
      <w:pBdr>
        <w:left w:val="single" w:color="000000" w:sz="8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3">
    <w:name w:val="xl113"/>
    <w:basedOn w:val="958"/>
    <w:next w:val="1033"/>
    <w:link w:val="958"/>
    <w:pPr>
      <w:pBdr>
        <w:top w:val="single" w:color="000000" w:sz="8" w:space="0"/>
        <w:left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4">
    <w:name w:val="xl114"/>
    <w:basedOn w:val="958"/>
    <w:next w:val="1034"/>
    <w:link w:val="958"/>
    <w:pPr>
      <w:pBdr>
        <w:left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5">
    <w:name w:val="xl115"/>
    <w:basedOn w:val="958"/>
    <w:next w:val="1035"/>
    <w:link w:val="958"/>
    <w:pPr>
      <w:pBdr>
        <w:left w:val="single" w:color="000000" w:sz="4" w:space="0"/>
        <w:bottom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6">
    <w:name w:val="xl116"/>
    <w:basedOn w:val="958"/>
    <w:next w:val="1036"/>
    <w:link w:val="958"/>
    <w:pPr>
      <w:pBdr>
        <w:top w:val="single" w:color="000000" w:sz="8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7">
    <w:name w:val="xl117"/>
    <w:basedOn w:val="958"/>
    <w:next w:val="1037"/>
    <w:link w:val="958"/>
    <w:pPr>
      <w:pBdr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8">
    <w:name w:val="xl118"/>
    <w:basedOn w:val="958"/>
    <w:next w:val="1038"/>
    <w:link w:val="958"/>
    <w:pPr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9">
    <w:name w:val="xl119"/>
    <w:basedOn w:val="958"/>
    <w:next w:val="1039"/>
    <w:link w:val="958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0">
    <w:name w:val="xl120"/>
    <w:basedOn w:val="958"/>
    <w:next w:val="1040"/>
    <w:link w:val="958"/>
    <w:pPr>
      <w:pBdr>
        <w:top w:val="single" w:color="000000" w:sz="8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1">
    <w:name w:val="xl121"/>
    <w:basedOn w:val="958"/>
    <w:next w:val="1041"/>
    <w:link w:val="958"/>
    <w:pPr>
      <w:pBdr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2">
    <w:name w:val="xl122"/>
    <w:basedOn w:val="958"/>
    <w:next w:val="1042"/>
    <w:link w:val="958"/>
    <w:pPr>
      <w:pBdr>
        <w:lef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3">
    <w:name w:val="xl123"/>
    <w:basedOn w:val="958"/>
    <w:next w:val="1043"/>
    <w:link w:val="958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4">
    <w:name w:val="xl124"/>
    <w:basedOn w:val="958"/>
    <w:next w:val="1044"/>
    <w:link w:val="958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5">
    <w:name w:val="xl125"/>
    <w:basedOn w:val="958"/>
    <w:next w:val="1045"/>
    <w:link w:val="958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6">
    <w:name w:val="xl126"/>
    <w:basedOn w:val="958"/>
    <w:next w:val="1046"/>
    <w:link w:val="958"/>
    <w:pPr>
      <w:pBdr>
        <w:left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7">
    <w:name w:val="xl127"/>
    <w:basedOn w:val="958"/>
    <w:next w:val="1047"/>
    <w:link w:val="958"/>
    <w:pPr>
      <w:pBdr>
        <w:top w:val="single" w:color="000000" w:sz="4" w:space="0"/>
        <w:left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8">
    <w:name w:val="xl128"/>
    <w:basedOn w:val="958"/>
    <w:next w:val="1048"/>
    <w:link w:val="958"/>
    <w:pPr>
      <w:pBdr>
        <w:top w:val="single" w:color="000000" w:sz="4" w:space="0"/>
        <w:lef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9">
    <w:name w:val="xl129"/>
    <w:basedOn w:val="958"/>
    <w:next w:val="1049"/>
    <w:link w:val="958"/>
    <w:pPr>
      <w:pBdr>
        <w:top w:val="single" w:color="000000" w:sz="8" w:space="0"/>
        <w:lef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50">
    <w:name w:val="xl130"/>
    <w:basedOn w:val="958"/>
    <w:next w:val="1050"/>
    <w:link w:val="958"/>
    <w:pPr>
      <w:pBdr>
        <w:left w:val="single" w:color="000000" w:sz="4" w:space="0"/>
        <w:bottom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51">
    <w:name w:val="xl131"/>
    <w:basedOn w:val="958"/>
    <w:next w:val="1051"/>
    <w:link w:val="958"/>
    <w:pPr>
      <w:pBdr>
        <w:lef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52">
    <w:name w:val="xl132"/>
    <w:basedOn w:val="958"/>
    <w:next w:val="1052"/>
    <w:link w:val="958"/>
    <w:pPr>
      <w:pBdr>
        <w:top w:val="single" w:color="000000" w:sz="8" w:space="0"/>
        <w:left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53">
    <w:name w:val="xl133"/>
    <w:basedOn w:val="958"/>
    <w:next w:val="1053"/>
    <w:link w:val="958"/>
    <w:pPr>
      <w:pBdr>
        <w:left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character" w:styleId="1054">
    <w:name w:val="Неразрешенное упоминание"/>
    <w:next w:val="1054"/>
    <w:link w:val="95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55">
    <w:name w:val="Обычный (веб)"/>
    <w:basedOn w:val="958"/>
    <w:next w:val="1055"/>
    <w:link w:val="958"/>
    <w:uiPriority w:val="99"/>
    <w:semiHidden/>
    <w:unhideWhenUsed/>
    <w:pPr>
      <w:pBdr/>
      <w:spacing/>
      <w:ind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663</cp:revision>
  <dcterms:created xsi:type="dcterms:W3CDTF">2016-09-30T12:20:00Z</dcterms:created>
  <dcterms:modified xsi:type="dcterms:W3CDTF">2026-06-29T08:03:29Z</dcterms:modified>
  <cp:version>1048576</cp:version>
</cp:coreProperties>
</file>