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 w:right="139"/>
        <w:jc w:val="right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ПРОЕКТ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КАБИНЕТ МИНИСТРОВ РЕСПУБЛИКИ ТАТАРСТАН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ПОСТАНОВЛЕНИЕ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г. Казань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«___» _______ 20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2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6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ab/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№ ___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tabs>
          <w:tab w:val="left" w:leader="none" w:pos="4253"/>
          <w:tab w:val="left" w:leader="none" w:pos="4536"/>
        </w:tabs>
        <w:spacing w:after="0" w:line="240" w:lineRule="auto"/>
        <w:ind w:right="5385"/>
        <w:jc w:val="both"/>
        <w:rPr>
          <w:rFonts w:ascii="Times New Roman" w:hAnsi="Times New Roman"/>
          <w:bCs/>
          <w:strike w:val="0"/>
          <w:sz w:val="28"/>
          <w:szCs w:val="28"/>
          <w:highlight w:val="white"/>
        </w:rPr>
      </w:pPr>
      <w:r>
        <w:rPr>
          <w:strike w:val="0"/>
          <w:highlight w:val="white"/>
        </w:rPr>
      </w:r>
      <w:bookmarkStart w:id="0" w:name="_Hlk10799341"/>
      <w:r>
        <w:rPr>
          <w:strike w:val="0"/>
          <w:highlight w:val="white"/>
        </w:rPr>
      </w:r>
      <w:bookmarkStart w:id="1" w:name="_Hlk125702445"/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О внесении изменени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й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в Положение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социальных услуг в Республике Татарстан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, утвержденное постановлением Кабинета Министров Республики Татарстан от 31.12.2009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№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915 «Об утверждении Положения 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социальных услуг в Республике Татарстан</w:t>
      </w:r>
      <w:bookmarkEnd w:id="0"/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bookmarkEnd w:id="1"/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312" w:lineRule="auto"/>
        <w:ind w:firstLine="709"/>
        <w:jc w:val="both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312" w:lineRule="auto"/>
        <w:ind w:firstLine="720"/>
        <w:jc w:val="both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 w14:paraId="6F8CEDF1">
      <w:pPr>
        <w:pStyle w:val="983"/>
        <w:numPr>
          <w:ilvl w:val="0"/>
          <w:numId w:val="28"/>
        </w:num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Внести 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в 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Положени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е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социальных услуг в Республике Татарстан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, утвержденно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 постановлением Кабинета Министров Республики Татарстан от 31.12.2009 №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915 «Об утверждении Положения 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социальных услуг в Республике Татарстан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(с изменениями, внесенными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постановлени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Кабинета Министров Республики Татарстан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от 30.12.2011 №1097, от 31.12.2014 №1096, от 06.05.2015 №325, от 12.11.2015 №847, от 01.03.2016 №127, от 04.06.2016 №372, от 12.05.2017 №27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6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29.07.2017 №529, от 28.08.2017 №609, от 18.06.2018 №493, от 12.09.2018 №773, от 25.12.2018 №1218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07.09.2019 №800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16.12.2019 № 1154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strike w:val="0"/>
          <w:color w:val="000000" w:themeColor="text1"/>
          <w:highlight w:val="white"/>
        </w:rPr>
        <w:t xml:space="preserve">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25.08.2020 № 731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09.10.2020 № 915, от 25.12.2020 № 1192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06.09.2021 № 811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strike w:val="0"/>
          <w:color w:val="000000" w:themeColor="text1"/>
          <w:highlight w:val="white"/>
        </w:rPr>
        <w:t xml:space="preserve">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25.09.2021 № 914, от 22.01.2022 № 38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17.05.2022 № 452, от 27.06.2022 № 611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от 15.04.2023 № 471,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01.08.2023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927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30.08.2023 № 1041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10.10.2023 №12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9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0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от 02.12.2023 № 1548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17.01.2024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17, от 14.02.2024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79,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13.09.2024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784, от 05.11.2024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963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от 30.04.2025 № 287,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09.10.2025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№ 816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en-US"/>
        </w:rPr>
        <w:t xml:space="preserve">12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en-US"/>
        </w:rPr>
        <w:t xml:space="preserve">05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.2026 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en-US"/>
        </w:rPr>
        <w:t xml:space="preserve">68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en-US"/>
        </w:rPr>
        <w:t xml:space="preserve">9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от 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en-US"/>
        </w:rPr>
        <w:t xml:space="preserve">1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ru-RU"/>
        </w:rPr>
        <w:t xml:space="preserve">7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en-US"/>
        </w:rPr>
        <w:t xml:space="preserve">0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ru-RU"/>
        </w:rPr>
        <w:t xml:space="preserve">6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.2026 №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  <w:lang w:val="ru-RU"/>
        </w:rPr>
        <w:t xml:space="preserve">80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0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/>
          <w:bCs/>
          <w:strike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сл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еду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ющ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ие изменения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1B66C35F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strike w:val="0"/>
          <w:color w:val="000000" w:themeColor="text1"/>
          <w:highlight w:val="whit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пункт 11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таблицы 2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 изложить в следующей редакции:</w:t>
      </w:r>
      <w:r>
        <w:rPr>
          <w:strike w:val="0"/>
          <w:color w:val="000000" w:themeColor="text1"/>
          <w:highlight w:val="white"/>
        </w:rPr>
      </w:r>
      <w:r>
        <w:rPr>
          <w:strike w:val="0"/>
          <w:color w:val="000000" w:themeColor="text1"/>
          <w:highlight w:val="white"/>
        </w:rPr>
      </w:r>
    </w:p>
    <w:tbl>
      <w:tblPr>
        <w:tblStyle w:val="984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681"/>
        <w:gridCol w:w="1701"/>
        <w:gridCol w:w="1134"/>
        <w:gridCol w:w="1276"/>
        <w:gridCol w:w="1465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vMerge w:val="restart"/>
            <w:textDirection w:val="lrTb"/>
            <w:noWrap w:val="false"/>
          </w:tcPr>
          <w:p w14:paraId="0DA2A38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«11.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6386708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681" w:type="dxa"/>
            <w:vAlign w:val="top"/>
            <w:vMerge w:val="restart"/>
            <w:textDirection w:val="lrTb"/>
            <w:noWrap w:val="false"/>
          </w:tcPr>
          <w:p w14:paraId="16CD4E2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Отделение социального обслуживания на дому комплексного центра социального обслуживания населения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68E595B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 w14:paraId="5918676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 дому в городской местности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  <w:textDirection w:val="lrTb"/>
            <w:noWrap w:val="false"/>
          </w:tcPr>
          <w:p w14:paraId="7EDADCB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жителей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  <w:textDirection w:val="lrTb"/>
            <w:noWrap w:val="false"/>
          </w:tcPr>
          <w:p w14:paraId="3C4797B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0,000384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5" w:type="dxa"/>
            <w:vAlign w:val="top"/>
            <w:textDirection w:val="lrTb"/>
            <w:noWrap w:val="false"/>
          </w:tcPr>
          <w:p w14:paraId="79C5EDB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0,000081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vMerge w:val="continue"/>
            <w:textDirection w:val="lrTb"/>
            <w:noWrap w:val="false"/>
          </w:tcPr>
          <w:p w14:paraId="126FC315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681" w:type="dxa"/>
            <w:vAlign w:val="top"/>
            <w:vMerge w:val="continue"/>
            <w:textDirection w:val="lrTb"/>
            <w:noWrap w:val="false"/>
          </w:tcPr>
          <w:p w14:paraId="1EEDDD8C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vMerge w:val="restart"/>
            <w:textDirection w:val="lrTb"/>
            <w:noWrap w:val="false"/>
          </w:tcPr>
          <w:p w14:paraId="4D2FDD6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 дому в сельской местности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  <w:vMerge w:val="restart"/>
            <w:textDirection w:val="lrTb"/>
            <w:noWrap w:val="false"/>
          </w:tcPr>
          <w:p w14:paraId="75966D5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жителей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  <w:vMerge w:val="restart"/>
            <w:textDirection w:val="lrTb"/>
            <w:noWrap w:val="false"/>
          </w:tcPr>
          <w:p w14:paraId="7069E02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0,001534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5" w:type="dxa"/>
            <w:vAlign w:val="top"/>
            <w:vMerge w:val="restart"/>
            <w:textDirection w:val="lrTb"/>
            <w:noWrap w:val="false"/>
          </w:tcPr>
          <w:p w14:paraId="62E7590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0,000096»;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76DB660B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strike w:val="0"/>
          <w:color w:val="000000" w:themeColor="text1"/>
          <w:highlight w:val="whit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r>
      <w:r>
        <w:rPr>
          <w:strike w:val="0"/>
          <w:color w:val="000000" w:themeColor="text1"/>
          <w:highlight w:val="white"/>
        </w:rPr>
      </w:r>
      <w:r>
        <w:rPr>
          <w:strike w:val="0"/>
          <w:color w:val="000000" w:themeColor="text1"/>
          <w:highlight w:val="white"/>
        </w:rPr>
      </w:r>
    </w:p>
    <w:p w14:paraId="5C0FC6FB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пункт 11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таблицы 4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 изложить в следующей редакции: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r>
    </w:p>
    <w:tbl>
      <w:tblPr>
        <w:tblStyle w:val="984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681"/>
        <w:gridCol w:w="1701"/>
        <w:gridCol w:w="1134"/>
        <w:gridCol w:w="1276"/>
        <w:gridCol w:w="1465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vMerge w:val="restart"/>
            <w:textDirection w:val="lrTb"/>
            <w:noWrap w:val="false"/>
          </w:tcPr>
          <w:p w14:paraId="60E27BD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«11.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6EBEC1A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681" w:type="dxa"/>
            <w:vAlign w:val="top"/>
            <w:vMerge w:val="restart"/>
            <w:textDirection w:val="lrTb"/>
            <w:noWrap w:val="false"/>
          </w:tcPr>
          <w:p w14:paraId="366B9B8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Отделение социального обслуживания на дому комплексного центра социального обслуживания населения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61D4B49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 w14:paraId="01FD833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 дому в городской местности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  <w:textDirection w:val="lrTb"/>
            <w:noWrap w:val="false"/>
          </w:tcPr>
          <w:p w14:paraId="046609E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жителей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  <w:textDirection w:val="lrTb"/>
            <w:noWrap w:val="false"/>
          </w:tcPr>
          <w:p w14:paraId="265C235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5" w:type="dxa"/>
            <w:vAlign w:val="top"/>
            <w:textDirection w:val="lrTb"/>
            <w:noWrap w:val="false"/>
          </w:tcPr>
          <w:p w14:paraId="7454863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0,000001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vMerge w:val="continue"/>
            <w:textDirection w:val="lrTb"/>
            <w:noWrap w:val="false"/>
          </w:tcPr>
          <w:p w14:paraId="2B6D17A7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681" w:type="dxa"/>
            <w:vAlign w:val="top"/>
            <w:vMerge w:val="continue"/>
            <w:textDirection w:val="lrTb"/>
            <w:noWrap w:val="false"/>
          </w:tcPr>
          <w:p w14:paraId="76AB7216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vMerge w:val="restart"/>
            <w:textDirection w:val="lrTb"/>
            <w:noWrap w:val="false"/>
          </w:tcPr>
          <w:p w14:paraId="4F424FC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 дому в сельской местности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  <w:vMerge w:val="restart"/>
            <w:textDirection w:val="lrTb"/>
            <w:noWrap w:val="false"/>
          </w:tcPr>
          <w:p w14:paraId="3319302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жителей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  <w:vMerge w:val="restart"/>
            <w:textDirection w:val="lrTb"/>
            <w:noWrap w:val="false"/>
          </w:tcPr>
          <w:p w14:paraId="0686E96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0,000015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5" w:type="dxa"/>
            <w:vAlign w:val="top"/>
            <w:vMerge w:val="restart"/>
            <w:textDirection w:val="lrTb"/>
            <w:noWrap w:val="false"/>
          </w:tcPr>
          <w:p w14:paraId="7DB750E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0,000001»;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 w14:paraId="2E02056D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7AB45A87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32B3008C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пункт 11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таблицы 6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 изложить в следующей редакции: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r>
    </w:p>
    <w:tbl>
      <w:tblPr>
        <w:tblStyle w:val="984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681"/>
        <w:gridCol w:w="1701"/>
        <w:gridCol w:w="1134"/>
        <w:gridCol w:w="1276"/>
        <w:gridCol w:w="1465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vMerge w:val="restart"/>
            <w:textDirection w:val="lrTb"/>
            <w:noWrap w:val="false"/>
          </w:tcPr>
          <w:p w14:paraId="673D681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«11.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2702743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681" w:type="dxa"/>
            <w:vAlign w:val="top"/>
            <w:vMerge w:val="restart"/>
            <w:textDirection w:val="lrTb"/>
            <w:noWrap w:val="false"/>
          </w:tcPr>
          <w:p w14:paraId="42E002C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Отделение социального обслуживания на дому комплексного центра социального обслуживания населения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66BE434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 w14:paraId="26759BD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 дому в городской местности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  <w:textDirection w:val="lrTb"/>
            <w:noWrap w:val="false"/>
          </w:tcPr>
          <w:p w14:paraId="76C1D2F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жителей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  <w:textDirection w:val="lrTb"/>
            <w:noWrap w:val="false"/>
          </w:tcPr>
          <w:p w14:paraId="075990C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5" w:type="dxa"/>
            <w:vAlign w:val="top"/>
            <w:textDirection w:val="lrTb"/>
            <w:noWrap w:val="false"/>
          </w:tcPr>
          <w:p w14:paraId="212B725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vMerge w:val="continue"/>
            <w:textDirection w:val="lrTb"/>
            <w:noWrap w:val="false"/>
          </w:tcPr>
          <w:p w14:paraId="16B27047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681" w:type="dxa"/>
            <w:vAlign w:val="top"/>
            <w:vMerge w:val="continue"/>
            <w:textDirection w:val="lrTb"/>
            <w:noWrap w:val="false"/>
          </w:tcPr>
          <w:p w14:paraId="07847675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vMerge w:val="restart"/>
            <w:textDirection w:val="lrTb"/>
            <w:noWrap w:val="false"/>
          </w:tcPr>
          <w:p w14:paraId="1945C86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 дому в сельской местности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  <w:vMerge w:val="restart"/>
            <w:textDirection w:val="lrTb"/>
            <w:noWrap w:val="false"/>
          </w:tcPr>
          <w:p w14:paraId="6A24F13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жителей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  <w:vMerge w:val="restart"/>
            <w:textDirection w:val="lrTb"/>
            <w:noWrap w:val="false"/>
          </w:tcPr>
          <w:p w14:paraId="6914918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5" w:type="dxa"/>
            <w:vAlign w:val="top"/>
            <w:vMerge w:val="restart"/>
            <w:textDirection w:val="lrTb"/>
            <w:noWrap w:val="false"/>
          </w:tcPr>
          <w:p w14:paraId="2E74F9B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0,000003»;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 w14:paraId="20895F29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29B62F4E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пункт 11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таблицы 8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 изложить в следующей редакции: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r>
    </w:p>
    <w:tbl>
      <w:tblPr>
        <w:tblStyle w:val="984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681"/>
        <w:gridCol w:w="1701"/>
        <w:gridCol w:w="1134"/>
        <w:gridCol w:w="1276"/>
        <w:gridCol w:w="1465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vMerge w:val="restart"/>
            <w:textDirection w:val="lrTb"/>
            <w:noWrap w:val="false"/>
          </w:tcPr>
          <w:p w14:paraId="77B1180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«11.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1BC4736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681" w:type="dxa"/>
            <w:vAlign w:val="top"/>
            <w:vMerge w:val="restart"/>
            <w:textDirection w:val="lrTb"/>
            <w:noWrap w:val="false"/>
          </w:tcPr>
          <w:p w14:paraId="4EF5B86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Отделение социального обслуживания на дому комплексного центра социального обслуживания населения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20365F1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 w14:paraId="3004894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 дому в городской местности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  <w:textDirection w:val="lrTb"/>
            <w:noWrap w:val="false"/>
          </w:tcPr>
          <w:p w14:paraId="06E6C1F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жителей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  <w:textDirection w:val="lrTb"/>
            <w:noWrap w:val="false"/>
          </w:tcPr>
          <w:p w14:paraId="2ACD194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5" w:type="dxa"/>
            <w:vAlign w:val="top"/>
            <w:textDirection w:val="lrTb"/>
            <w:noWrap w:val="false"/>
          </w:tcPr>
          <w:p w14:paraId="4EFD1E6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0,000004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vMerge w:val="continue"/>
            <w:textDirection w:val="lrTb"/>
            <w:noWrap w:val="false"/>
          </w:tcPr>
          <w:p w14:paraId="4DD64D88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681" w:type="dxa"/>
            <w:vAlign w:val="top"/>
            <w:vMerge w:val="continue"/>
            <w:textDirection w:val="lrTb"/>
            <w:noWrap w:val="false"/>
          </w:tcPr>
          <w:p w14:paraId="5AEEE68D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vMerge w:val="restart"/>
            <w:textDirection w:val="lrTb"/>
            <w:noWrap w:val="false"/>
          </w:tcPr>
          <w:p w14:paraId="6EB9EC3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 дому в сельской местности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  <w:vMerge w:val="restart"/>
            <w:textDirection w:val="lrTb"/>
            <w:noWrap w:val="false"/>
          </w:tcPr>
          <w:p w14:paraId="1912A4B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жителей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  <w:vMerge w:val="restart"/>
            <w:textDirection w:val="lrTb"/>
            <w:noWrap w:val="false"/>
          </w:tcPr>
          <w:p w14:paraId="5DCE358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5" w:type="dxa"/>
            <w:vAlign w:val="top"/>
            <w:vMerge w:val="restart"/>
            <w:textDirection w:val="lrTb"/>
            <w:noWrap w:val="false"/>
          </w:tcPr>
          <w:p w14:paraId="5B1DE17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0,000001»;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 w14:paraId="002995F8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27D0CED1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пункт 11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таблицы 14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 изложить в следующей редакции: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none"/>
          <w:lang w:val="ru-RU"/>
        </w:rPr>
      </w:r>
    </w:p>
    <w:tbl>
      <w:tblPr>
        <w:tblStyle w:val="984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681"/>
        <w:gridCol w:w="1701"/>
        <w:gridCol w:w="1134"/>
        <w:gridCol w:w="1276"/>
        <w:gridCol w:w="1465"/>
      </w:tblGrid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vMerge w:val="restart"/>
            <w:textDirection w:val="lrTb"/>
            <w:noWrap w:val="false"/>
          </w:tcPr>
          <w:p w14:paraId="4F354D5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«11.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6B0533C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681" w:type="dxa"/>
            <w:vAlign w:val="top"/>
            <w:vMerge w:val="restart"/>
            <w:textDirection w:val="lrTb"/>
            <w:noWrap w:val="false"/>
          </w:tcPr>
          <w:p w14:paraId="107A19C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  <w:t xml:space="preserve">Отделение социального обслуживания на дому комплексного центра социального обслуживания населения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1619E03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 w14:paraId="32B67D8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 дому в городской местности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  <w:textDirection w:val="lrTb"/>
            <w:noWrap w:val="false"/>
          </w:tcPr>
          <w:p w14:paraId="747653C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жителей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  <w:textDirection w:val="lrTb"/>
            <w:noWrap w:val="false"/>
          </w:tcPr>
          <w:p w14:paraId="64382E3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5" w:type="dxa"/>
            <w:vAlign w:val="top"/>
            <w:textDirection w:val="lrTb"/>
            <w:noWrap w:val="false"/>
          </w:tcPr>
          <w:p w14:paraId="443BC38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rPr>
          <w:trHeight w:val="7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5" w:type="dxa"/>
            <w:vAlign w:val="top"/>
            <w:vMerge w:val="continue"/>
            <w:textDirection w:val="lrTb"/>
            <w:noWrap w:val="false"/>
          </w:tcPr>
          <w:p w14:paraId="6DB45BC6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681" w:type="dxa"/>
            <w:vAlign w:val="top"/>
            <w:vMerge w:val="continue"/>
            <w:textDirection w:val="lrTb"/>
            <w:noWrap w:val="false"/>
          </w:tcPr>
          <w:p w14:paraId="3631248F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vMerge w:val="restart"/>
            <w:textDirection w:val="lrTb"/>
            <w:noWrap w:val="false"/>
          </w:tcPr>
          <w:p w14:paraId="6322825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 дому в сельской местности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  <w:vMerge w:val="restart"/>
            <w:textDirection w:val="lrTb"/>
            <w:noWrap w:val="false"/>
          </w:tcPr>
          <w:p w14:paraId="24D9A78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жителей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  <w:vMerge w:val="restart"/>
            <w:textDirection w:val="lrTb"/>
            <w:noWrap w:val="false"/>
          </w:tcPr>
          <w:p w14:paraId="6CAC111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5" w:type="dxa"/>
            <w:vAlign w:val="top"/>
            <w:vMerge w:val="restart"/>
            <w:textDirection w:val="lrTb"/>
            <w:noWrap w:val="false"/>
          </w:tcPr>
          <w:p w14:paraId="334EB26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0,000003»;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 w14:paraId="458F81A5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6C48710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709"/>
          <w:tab w:val="left" w:leader="none" w:pos="1276"/>
        </w:tabs>
        <w:spacing w:after="0" w:line="312" w:lineRule="auto"/>
        <w:ind w:right="138" w:firstLine="567" w:left="142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  <w14:ligatures w14:val="none"/>
        </w:rPr>
        <w:t xml:space="preserve">таблицу 53 изложить в следующей редакции: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323161E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709"/>
          <w:tab w:val="left" w:leader="none" w:pos="1276"/>
        </w:tabs>
        <w:spacing w:after="0" w:line="312" w:lineRule="auto"/>
        <w:ind w:right="138" w:firstLine="567" w:left="142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 w:eastAsia="ru-RU"/>
          <w14:ligatures w14:val="none"/>
        </w:rPr>
        <w:t xml:space="preserve">«Таблица 53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  <w14:ligatures w14:val="none"/>
        </w:rPr>
        <w:t xml:space="preserve">Поправочный коэффициент к стандартной (базовой) стоимости услуг персонала, оказывающего социальные услуги, к фонду оплаты труда обслуживающего персонала и нормативам штатной численности персонала в отделениях с формой социального обслуживания на дому и отд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  <w14:ligatures w14:val="none"/>
        </w:rPr>
        <w:t xml:space="preserve">елениях помощи семье и детям,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 w:bidi="ru-RU"/>
          <w14:ligatures w14:val="none"/>
        </w:rPr>
        <w:t xml:space="preserve">отделениях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«С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емейный многофункциональный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центр»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  <w14:ligatures w14:val="none"/>
        </w:rPr>
        <w:t xml:space="preserve"> с полустационарной формой социального обслуживания комплекс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  <w14:ligatures w14:val="none"/>
        </w:rPr>
        <w:t xml:space="preserve">ных центров социального обслуживания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4E7D5A79">
      <w:pPr>
        <w:widowControl w:val="false"/>
        <w:pBdr/>
        <w:spacing w:after="0" w:line="240" w:lineRule="auto"/>
        <w:ind/>
        <w:jc w:val="right"/>
        <w:outlineLvl w:val="0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eastAsia="ru-RU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</w:rPr>
      </w:r>
    </w:p>
    <w:tbl>
      <w:tblPr>
        <w:tblStyle w:val="995"/>
        <w:tblW w:w="10201" w:type="dxa"/>
        <w:tblBorders/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519"/>
        <w:gridCol w:w="1461"/>
        <w:gridCol w:w="1556"/>
        <w:gridCol w:w="1559"/>
      </w:tblGrid>
      <w:tr>
        <w:trPr>
          <w:trHeight w:val="23"/>
        </w:trPr>
        <w:tc>
          <w:tcPr>
            <w:tcBorders/>
            <w:tcW w:w="2263" w:type="dxa"/>
            <w:vMerge w:val="restart"/>
            <w:textDirection w:val="lrTb"/>
            <w:noWrap w:val="false"/>
          </w:tcPr>
          <w:p w14:paraId="71042FE5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Вид организации, форма социального обслуживания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16092005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Численность населения, тыс. человек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gridSpan w:val="4"/>
            <w:tcBorders/>
            <w:tcW w:w="6095" w:type="dxa"/>
            <w:textDirection w:val="lrTb"/>
            <w:noWrap w:val="false"/>
          </w:tcPr>
          <w:p w14:paraId="2958832A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Поправочный коэффициент к стандартной (базовой) стоимости услуг персонала, оказывающего социальные услуги, к фонду оплаты труда обслуживающего персонала и нормативам штатной численности персонала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018C31D0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vMerge w:val="continue"/>
            <w:textDirection w:val="lrTb"/>
            <w:noWrap w:val="false"/>
          </w:tcPr>
          <w:p w14:paraId="6A2D365E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/>
            <w:tcW w:w="2980" w:type="dxa"/>
            <w:textDirection w:val="lrTb"/>
            <w:noWrap w:val="false"/>
          </w:tcPr>
          <w:p w14:paraId="3D941A53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форма социального обслуживания на дому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3115" w:type="dxa"/>
            <w:textDirection w:val="lrTb"/>
            <w:noWrap w:val="false"/>
          </w:tcPr>
          <w:p w14:paraId="2188399A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полустационарная форма социального обслуживания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4801F8A3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vMerge w:val="continue"/>
            <w:textDirection w:val="lrTb"/>
            <w:noWrap w:val="false"/>
          </w:tcPr>
          <w:p w14:paraId="1E3F395F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3504B58E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городская местность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19514CCB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сельская местность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1B1926B7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городская местность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4015B694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сельская 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местность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restart"/>
            <w:textDirection w:val="lrTb"/>
            <w:noWrap w:val="false"/>
          </w:tcPr>
          <w:p w14:paraId="1968C34A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both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Отделения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 с формой социального обслуживания на дому и 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отделения помощи семье и де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тям, </w:t>
            </w:r>
            <w:r>
              <w:rPr>
                <w:rFonts w:ascii="Times New Roman" w:hAnsi="Times New Roman"/>
                <w:strike w:val="0"/>
                <w:color w:val="000000" w:themeColor="text1"/>
                <w:sz w:val="28"/>
                <w:szCs w:val="28"/>
                <w:highlight w:val="white"/>
                <w:lang w:val="ru-RU" w:bidi="ru-RU"/>
                <w14:ligatures w14:val="none"/>
              </w:rPr>
              <w:t xml:space="preserve">отделения 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  <w:lang w:val="ru-RU"/>
              </w:rPr>
              <w:t xml:space="preserve">«С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  <w:lang w:val="ru-RU"/>
              </w:rPr>
              <w:t xml:space="preserve">емейный многофункциональный </w:t>
            </w:r>
            <w:r>
              <w:rPr>
                <w:rFonts w:ascii="Times New Roman" w:hAnsi="Times New Roman" w:eastAsia="Times New Roman" w:cs="Times New Roman"/>
                <w:strike w:val="0"/>
                <w:color w:val="000000" w:themeColor="text1"/>
                <w:sz w:val="28"/>
                <w:szCs w:val="28"/>
                <w:highlight w:val="white"/>
                <w:lang w:val="ru-RU"/>
              </w:rPr>
              <w:t xml:space="preserve">центр»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 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с полустационар-ной формой социал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ьного обслуживания комплексных центров социального обслуживания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23523B19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до 13,8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24E8F89B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1,25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10BF8156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1,50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0C3751BC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1,12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4B9CB8EF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1,12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0BEDF21A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73F240AE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13,8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 до 15,4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5B50A1FD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1,25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4EC4F973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1,40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40FEE541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1,12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758E5187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1,12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75F48CBA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05BF755C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15,4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 до 20,5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2D9A3154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1,150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3FD5A04D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1,400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642050ED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4BA6C625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1,010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1E47AF54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68A9A4F7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20,5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 до 21,6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07AF8209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1,150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0D22D36E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400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50B50E55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068B12B6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1,010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28A9B4A2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0055FF61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21,6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 до 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39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,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1245FC1A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1,150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125E19B8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1,200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5A7F6600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3A9A671F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1,010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50FA35ED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546F3901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39,0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 до 41,5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43E1E71A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1,150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601C1AE9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1,200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771D4A22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2F6320F7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074536DE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0C19C4E7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77DF1D2F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41,5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 до 50,0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4C442471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2C878677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900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2BB759B8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22E6D2B2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2400F1CF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0,970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4B240082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381FAAE4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50,0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 до 58,0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vMerge w:val="restart"/>
            <w:textDirection w:val="lrTb"/>
            <w:noWrap w:val="false"/>
          </w:tcPr>
          <w:p w14:paraId="1D016282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vMerge w:val="restart"/>
            <w:textDirection w:val="lrTb"/>
            <w:noWrap w:val="false"/>
          </w:tcPr>
          <w:p w14:paraId="7DC5B33C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760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7DD2DEFD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6" w:type="dxa"/>
            <w:vMerge w:val="restart"/>
            <w:textDirection w:val="lrTb"/>
            <w:noWrap w:val="false"/>
          </w:tcPr>
          <w:p w14:paraId="2A9070E8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633F711C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0,970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67D77AD3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7D9C6516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58,000 до 63,000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5B450698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0,900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4B5C4F15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0,760</w:t>
            </w:r>
            <w:r>
              <w:rPr>
                <w:strike w:val="0"/>
                <w:color w:val="000000" w:themeColor="text1"/>
                <w:highlight w:val="white"/>
              </w:rPr>
            </w:r>
            <w:r>
              <w:rPr>
                <w:strike w:val="0"/>
                <w:color w:val="000000" w:themeColor="text1"/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0500F082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3C8FCDFF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0,970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689705B1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487E8A72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63,000 до 71,000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vMerge w:val="restart"/>
            <w:textDirection w:val="lrTb"/>
            <w:noWrap w:val="false"/>
          </w:tcPr>
          <w:p w14:paraId="03FC7E86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0,900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vMerge w:val="restart"/>
            <w:textDirection w:val="lrTb"/>
            <w:noWrap w:val="false"/>
          </w:tcPr>
          <w:p w14:paraId="1E9BBCA1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0,750</w:t>
            </w:r>
            <w:r>
              <w:rPr>
                <w:strike w:val="0"/>
                <w:color w:val="000000" w:themeColor="text1"/>
                <w:highlight w:val="white"/>
              </w:rPr>
            </w:r>
            <w:r>
              <w:rPr>
                <w:strike w:val="0"/>
                <w:color w:val="000000" w:themeColor="text1"/>
                <w:highlight w:val="white"/>
              </w:rPr>
            </w:r>
          </w:p>
        </w:tc>
        <w:tc>
          <w:tcPr>
            <w:tcBorders/>
            <w:tcW w:w="1556" w:type="dxa"/>
            <w:vMerge w:val="restart"/>
            <w:textDirection w:val="lrTb"/>
            <w:noWrap w:val="false"/>
          </w:tcPr>
          <w:p w14:paraId="7CDF2F1E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5C64C964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0,970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64E0A907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64E4E5C5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71,000 до 101,000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73AC958F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0,700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29F7531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0,750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0ED739EC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0,900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671F9FFC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0,970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77B1615F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727C2F7D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101,000 до 501,000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20636260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0,700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01E7833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0,750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385E2F22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0,7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55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3CC8980B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0,970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31AAB623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52DDE1FB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501,000 до 601,000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258421B3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0,470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236330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0,750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294DA4D2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0,687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511FB60E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0,970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rPr>
          <w:trHeight w:val="23"/>
        </w:trPr>
        <w:tc>
          <w:tcPr>
            <w:tcBorders/>
            <w:tcW w:w="2263" w:type="dxa"/>
            <w:vMerge w:val="continue"/>
            <w:textDirection w:val="lrTb"/>
            <w:noWrap w:val="false"/>
          </w:tcPr>
          <w:p w14:paraId="344E098B">
            <w:pPr>
              <w:widowControl w:val="false"/>
              <w:pBdr/>
              <w:spacing w:after="0" w:line="240" w:lineRule="auto"/>
              <w:ind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58A4BAE2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от 601,000 и выше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19" w:type="dxa"/>
            <w:textDirection w:val="lrTb"/>
            <w:noWrap w:val="false"/>
          </w:tcPr>
          <w:p w14:paraId="40368799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387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461" w:type="dxa"/>
            <w:textDirection w:val="lrTb"/>
            <w:noWrap w:val="false"/>
          </w:tcPr>
          <w:p w14:paraId="129FEE1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0,750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556" w:type="dxa"/>
            <w:textDirection w:val="lrTb"/>
            <w:noWrap w:val="false"/>
          </w:tcPr>
          <w:p w14:paraId="0979467A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0,617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  <w:p w14:paraId="0A27014A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71352EAF">
            <w:pPr>
              <w:widowControl w:val="false"/>
              <w:pBdr/>
              <w:shd w:val="clear" w:color="ffffff" w:themeColor="background1" w:fill="ffffff" w:themeFill="background1"/>
              <w:spacing w:after="0" w:line="240" w:lineRule="auto"/>
              <w:ind/>
              <w:jc w:val="center"/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strike w:val="0"/>
                <w:color w:val="000000" w:themeColor="text1"/>
                <w:sz w:val="28"/>
                <w:szCs w:val="28"/>
                <w:highlight w:val="white"/>
                <w:lang w:eastAsia="ru-RU"/>
              </w:rPr>
              <w:t xml:space="preserve">0,970».</w:t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strike w:val="0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 w14:paraId="5C75B59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89" w:lineRule="atLeast"/>
        <w:ind w:right="0" w:firstLine="567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r>
    </w:p>
    <w:p w14:paraId="797528E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12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Установить, что действие настоящего постанов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ления распространяется на правоотношения, возникшие с 1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июля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года.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 w14:paraId="5A5A405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14B6095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 w:bidi="ru-RU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72BA573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sz w:val="28"/>
          <w:szCs w:val="28"/>
          <w:highlight w:val="white"/>
          <w:lang w:val="ru-RU" w:bidi="ru-RU"/>
          <w14:ligatures w14:val="none"/>
        </w:rPr>
      </w: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</w:p>
    <w:p w14:paraId="2EAA0CB0"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sz w:val="28"/>
          <w:szCs w:val="28"/>
          <w:highlight w:val="white"/>
          <w:lang w:val="ru-RU" w:bidi="ru-RU"/>
        </w:rPr>
      </w: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</w:p>
    <w:p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0" w:left="0"/>
        <w:jc w:val="both"/>
        <w:outlineLvl w:val="0"/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sz w:val="28"/>
          <w:szCs w:val="28"/>
          <w:highlight w:val="white"/>
          <w:lang w:val="ru-RU"/>
        </w:rPr>
        <w:t xml:space="preserve">Премьер-министр</w:t>
      </w: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sz w:val="28"/>
          <w:szCs w:val="28"/>
          <w:highlight w:val="white"/>
          <w14:ligatures w14:val="none"/>
        </w:rPr>
      </w:r>
    </w:p>
    <w:p>
      <w:pPr>
        <w:pBdr/>
        <w:tabs>
          <w:tab w:val="left" w:leader="none" w:pos="709"/>
          <w:tab w:val="left" w:leader="none" w:pos="1276"/>
        </w:tabs>
        <w:spacing w:after="0" w:line="312" w:lineRule="auto"/>
        <w:ind w:right="0" w:firstLine="0" w:left="0"/>
        <w:jc w:val="both"/>
        <w:outlineLvl w:val="0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  <w:lang w:val="ru-RU"/>
        </w:rPr>
        <w:t xml:space="preserve">Республики Татарста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н</w:t>
      </w:r>
      <w:r>
        <w:rPr>
          <w:rFonts w:ascii="Times New Roman" w:hAnsi="Times New Roman"/>
          <w:strike w:val="0"/>
          <w:sz w:val="28"/>
          <w:szCs w:val="28"/>
          <w:highlight w:val="none"/>
        </w:rPr>
        <w:tab/>
        <w:tab/>
        <w:tab/>
        <w:tab/>
        <w:tab/>
        <w:tab/>
        <w:tab/>
        <w:tab/>
        <w:t xml:space="preserve">А.В.Песошин</w:t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 w14:paraId="2792D71C">
      <w:pPr>
        <w:pBdr/>
        <w:tabs>
          <w:tab w:val="left" w:leader="none" w:pos="709"/>
          <w:tab w:val="left" w:leader="none" w:pos="1276"/>
        </w:tabs>
        <w:spacing w:after="0" w:line="288" w:lineRule="auto"/>
        <w:ind/>
        <w:jc w:val="both"/>
        <w:rPr>
          <w:rFonts w:ascii="Times New Roman" w:hAnsi="Times New Roman"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tabs>
          <w:tab w:val="left" w:leader="none" w:pos="709"/>
          <w:tab w:val="left" w:leader="none" w:pos="1276"/>
        </w:tabs>
        <w:spacing w:after="0" w:line="288" w:lineRule="auto"/>
        <w:ind/>
        <w:jc w:val="both"/>
        <w:rPr>
          <w:rFonts w:ascii="Times New Roman" w:hAnsi="Times New Roman"/>
          <w:strike w:val="0"/>
          <w:sz w:val="28"/>
          <w:szCs w:val="28"/>
          <w:highlight w:val="white"/>
        </w:rPr>
        <w:sectPr>
          <w:headerReference w:type="default" r:id="rId9"/>
          <w:headerReference w:type="first" r:id="rId10"/>
          <w:footnotePr/>
          <w:endnotePr/>
          <w:type w:val="nextPage"/>
          <w:pgSz w:h="16838" w:orient="portrait" w:w="11906"/>
          <w:pgMar w:top="1134" w:right="567" w:bottom="993" w:left="1418" w:header="709" w:footer="130" w:gutter="0"/>
          <w:cols w:num="1" w:sep="0" w:space="708" w:equalWidth="1"/>
          <w:titlePg/>
        </w:sectPr>
      </w:pP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ПОЯСНИТЕЛЬНАЯ ЗАПИСКА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b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</w:r>
    </w:p>
    <w:p>
      <w:pPr>
        <w:pBdr/>
        <w:spacing w:line="240" w:lineRule="auto"/>
        <w:ind/>
        <w:jc w:val="center"/>
        <w:rPr>
          <w:rFonts w:ascii="Times New Roman" w:hAnsi="Times New Roman"/>
          <w:b/>
          <w:strike w:val="0"/>
          <w:sz w:val="28"/>
          <w:szCs w:val="28"/>
          <w:highlight w:val="white"/>
        </w:rPr>
      </w:pP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«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О внесении изменени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й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 в Положение 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соци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альных услуг в Республике Татарстан, утвержденное постановлением Кабинета Министров Республики Татарстан от 31.12.2009 № 915 «Об утверждении Положения 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социальных услуг в Республике Татарстан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</w:r>
      <w:r>
        <w:rPr>
          <w:rFonts w:ascii="Times New Roman" w:hAnsi="Times New Roman"/>
          <w:b/>
          <w:strike w:val="0"/>
          <w:sz w:val="28"/>
          <w:szCs w:val="28"/>
          <w:highlight w:val="white"/>
        </w:rPr>
      </w:r>
    </w:p>
    <w:p>
      <w:pPr>
        <w:pBdr/>
        <w:tabs>
          <w:tab w:val="left" w:leader="none" w:pos="4253"/>
        </w:tabs>
        <w:spacing w:after="0" w:line="312" w:lineRule="auto"/>
        <w:ind w:right="0" w:firstLine="709" w:left="0"/>
        <w:jc w:val="both"/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Проект постановления Кабинета Министров Республики Татарстан «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О внесении изменений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в Положение 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нормативов финансирования социальных услуг, предоставляемых поставщиками соци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альных услуг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в Республике Татарстан, утвержденное постановлением Кабинета Министров Республики Татарстан от 31.12.2009 № 915 «Об утверждении Положения о порядке расчета нормативных затрат на оказание социальных услуг организаций социального обслуживания и 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подушевых</w:t>
      </w:r>
      <w:r>
        <w:rPr>
          <w:rFonts w:ascii="Times New Roman" w:hAnsi="Times New Roman"/>
          <w:bCs/>
          <w:strike w:val="0"/>
          <w:sz w:val="28"/>
          <w:szCs w:val="28"/>
          <w:highlight w:val="white"/>
        </w:rPr>
        <w:t xml:space="preserve"> нормативов фи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нансирования социальных услуг, предоставляемых поставщиками социальных услуг в Республике Татарстан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  <w:t xml:space="preserve">разработан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во исполнение решений Раиса Республики Татарстан Минниханова Р.Н. от 04.03.2025 № 10032-МР и от 25.04.2026 № 19796-МР, во исполнение пункта 2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распоряжения Кабинета Министров Республики Татарстан от 25.06.2026 № 1299-р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по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вопросу увеличения и перераспределения штатной численности комплексных центров социального обслуживания населения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5AB45ACB">
      <w:pPr>
        <w:pBdr/>
        <w:tabs>
          <w:tab w:val="left" w:leader="none" w:pos="4253"/>
        </w:tabs>
        <w:spacing w:after="0" w:line="312" w:lineRule="auto"/>
        <w:ind w:right="0" w:firstLine="709" w:left="0"/>
        <w:jc w:val="both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В связи с вступлением в силу приказа Министерства труда и социальной защиты Российской Федерации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  <w:t xml:space="preserve"> от 23 декабря 2025 г. № 731 «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  <w:t xml:space="preserve">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  <w:t xml:space="preserve">» п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роектом постановления вносятся изменения: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3A0CF193">
      <w:pPr>
        <w:pBdr/>
        <w:tabs>
          <w:tab w:val="left" w:leader="none" w:pos="4253"/>
        </w:tabs>
        <w:spacing w:after="0" w:line="312" w:lineRule="auto"/>
        <w:ind w:right="0" w:firstLine="709" w:left="0"/>
        <w:jc w:val="both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н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орматив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ы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штатной численности персонала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отделений социального обслуживания на дому комплексных центров социального обслуживания населения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  <w14:ligatures w14:val="none"/>
        </w:rPr>
        <w:t xml:space="preserve">;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  <w14:ligatures w14:val="none"/>
        </w:rPr>
      </w:r>
    </w:p>
    <w:p w14:paraId="63B58B25">
      <w:pPr>
        <w:pBdr/>
        <w:tabs>
          <w:tab w:val="left" w:leader="none" w:pos="4253"/>
        </w:tabs>
        <w:spacing w:after="0" w:line="312" w:lineRule="auto"/>
        <w:ind w:right="0" w:firstLine="709" w:left="0"/>
        <w:jc w:val="both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в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  <w14:ligatures w14:val="none"/>
        </w:rPr>
        <w:t xml:space="preserve">поправочный коэффициент к стандартной (базовой) стоимости услуг персонала, оказывающего социальные услуги, к фонду оплаты труда обслуживающего персонала и нормативам штатной численности персонала в отделениях с формой социального обслуживания на дому и отд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  <w14:ligatures w14:val="none"/>
        </w:rPr>
        <w:t xml:space="preserve">елениях помощи семье и детям, 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 w:bidi="ru-RU"/>
          <w14:ligatures w14:val="none"/>
        </w:rPr>
        <w:t xml:space="preserve">отделениях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«С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емейный многофункциональный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центр»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  <w14:ligatures w14:val="none"/>
        </w:rPr>
        <w:t xml:space="preserve"> с полустационарной формой социального обслуживания комплекс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:lang w:val="ru-RU"/>
          <w14:ligatures w14:val="none"/>
        </w:rPr>
        <w:t xml:space="preserve">ных центров социального обслуживания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  <w14:ligatures w14:val="none"/>
        </w:rPr>
      </w:r>
    </w:p>
    <w:p w14:paraId="59D2E38A">
      <w:pPr>
        <w:pStyle w:val="985"/>
        <w:pBdr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Выделение средств из бюджета Республики Татарстан на указанные цели согласовано Раисом Республики Татарстан Миннихановым Р.Н.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 рамках поручений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от 04.03.2025 № 10032-МР и от 25.04.2026 № 19796-МР и предусмотрено распоряжением Кабинета Министров Республики Татарстан от 25.06.2026 № 1299-р.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 w14:paraId="6C41DCD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4253"/>
        </w:tabs>
        <w:spacing w:after="0" w:line="312" w:lineRule="auto"/>
        <w:ind w:right="0" w:firstLine="709" w:left="0"/>
        <w:jc w:val="both"/>
        <w:rPr>
          <w:strike w:val="0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Отсутствует необходимост</w:t>
      </w: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ь в проведении оценки регулирующего воздействия проекта постановления Кабинета Министров Республики Татарстан. </w:t>
      </w:r>
      <w:r>
        <w:rPr>
          <w:strike w:val="0"/>
          <w:highlight w:val="white"/>
        </w:rPr>
      </w:r>
      <w:r>
        <w:rPr>
          <w:strike w:val="0"/>
          <w:highlight w:val="white"/>
        </w:rPr>
      </w:r>
    </w:p>
    <w:p w14:paraId="361E2DF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4253"/>
        </w:tabs>
        <w:spacing w:after="0" w:line="312" w:lineRule="auto"/>
        <w:ind w:right="0" w:firstLine="709" w:left="0"/>
        <w:jc w:val="both"/>
        <w:rPr>
          <w:strike w:val="0"/>
          <w:highlight w:val="white"/>
        </w:rPr>
      </w:pPr>
      <w:r>
        <w:rPr>
          <w:rFonts w:ascii="Times New Roman" w:hAnsi="Times New Roman"/>
          <w:strike w:val="0"/>
          <w:sz w:val="28"/>
          <w:szCs w:val="28"/>
          <w:highlight w:val="whit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strike w:val="0"/>
          <w:highlight w:val="white"/>
        </w:rPr>
      </w:r>
      <w:r>
        <w:rPr>
          <w:strike w:val="0"/>
          <w:highlight w:val="white"/>
        </w:rPr>
      </w:r>
    </w:p>
    <w:sectPr>
      <w:footnotePr/>
      <w:endnotePr/>
      <w:type w:val="nextPage"/>
      <w:pgSz w:h="16838" w:orient="portrait" w:w="11906"/>
      <w:pgMar w:top="1134" w:right="567" w:bottom="1134" w:left="1418" w:header="709" w:footer="13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776914926"/>
      <w:docPartObj>
        <w:docPartGallery w:val="Page Numbers (Top of Page)"/>
        <w:docPartUnique w:val="true"/>
      </w:docPartObj>
      <w:rPr/>
    </w:sdtPr>
    <w:sdtContent>
      <w:p>
        <w:pPr>
          <w:pStyle w:val="986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2</w:t>
        </w:r>
        <w:r>
          <w:fldChar w:fldCharType="end"/>
        </w:r>
        <w:r/>
      </w:p>
    </w:sdtContent>
  </w:sdt>
  <w:p>
    <w:pPr>
      <w:pStyle w:val="986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6"/>
      <w:pBdr/>
      <w:spacing/>
      <w:ind/>
      <w:jc w:val="center"/>
      <w:rPr/>
    </w:pPr>
    <w:r/>
    <w:r/>
  </w:p>
  <w:p>
    <w:pPr>
      <w:pStyle w:val="986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8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40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106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%1"/>
      <w:numFmt w:val="decimal"/>
      <w:pPr>
        <w:pBdr/>
        <w:spacing/>
        <w:ind w:hanging="360" w:left="1211"/>
      </w:pPr>
      <w:rPr>
        <w:rFonts w:hint="default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  <w:color w:val="auto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29"/>
      </w:pPr>
      <w:rPr>
        <w:rFonts w:hint="default"/>
      </w:rPr>
      <w:start w:val="10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429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149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509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509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869"/>
      </w:pPr>
      <w:rPr>
        <w:rFonts w:hint="default"/>
      </w:rPr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4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25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6">
    <w:nsid w:val="03B173DB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7">
    <w:nsid w:val="09D24B1E"/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28">
    <w:nsid w:val="09D24B1E"/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29">
    <w:nsid w:val="09D24B1E"/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6"/>
  </w:num>
  <w:num w:numId="5">
    <w:abstractNumId w:val="8"/>
  </w:num>
  <w:num w:numId="6">
    <w:abstractNumId w:val="14"/>
  </w:num>
  <w:num w:numId="7">
    <w:abstractNumId w:val="10"/>
  </w:num>
  <w:num w:numId="8">
    <w:abstractNumId w:val="21"/>
  </w:num>
  <w:num w:numId="9">
    <w:abstractNumId w:val="15"/>
  </w:num>
  <w:num w:numId="10">
    <w:abstractNumId w:val="17"/>
  </w:num>
  <w:num w:numId="11">
    <w:abstractNumId w:val="23"/>
  </w:num>
  <w:num w:numId="12">
    <w:abstractNumId w:val="3"/>
  </w:num>
  <w:num w:numId="13">
    <w:abstractNumId w:val="1"/>
  </w:num>
  <w:num w:numId="14">
    <w:abstractNumId w:val="24"/>
  </w:num>
  <w:num w:numId="15">
    <w:abstractNumId w:val="11"/>
  </w:num>
  <w:num w:numId="16">
    <w:abstractNumId w:val="2"/>
  </w:num>
  <w:num w:numId="17">
    <w:abstractNumId w:val="20"/>
  </w:num>
  <w:num w:numId="18">
    <w:abstractNumId w:val="19"/>
  </w:num>
  <w:num w:numId="19">
    <w:abstractNumId w:val="18"/>
  </w:num>
  <w:num w:numId="20">
    <w:abstractNumId w:val="13"/>
  </w:num>
  <w:num w:numId="21">
    <w:abstractNumId w:val="22"/>
  </w:num>
  <w:num w:numId="22">
    <w:abstractNumId w:val="0"/>
  </w:num>
  <w:num w:numId="23">
    <w:abstractNumId w:val="16"/>
  </w:num>
  <w:num w:numId="24">
    <w:abstractNumId w:val="5"/>
  </w:num>
  <w:num w:numId="25">
    <w:abstractNumId w:val="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99">
    <w:name w:val="Table Grid Light"/>
    <w:basedOn w:val="98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Plain Table 1"/>
    <w:basedOn w:val="98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Plain Table 2"/>
    <w:basedOn w:val="98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Plain Table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Plain Table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Plain Table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1 Light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1 Light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1 Light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1 Light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1 Light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1 Light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2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2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2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2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2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2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3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3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3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3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3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3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"/>
    <w:basedOn w:val="9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4 - Accent 1"/>
    <w:basedOn w:val="9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4 - Accent 2"/>
    <w:basedOn w:val="9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4 - Accent 3"/>
    <w:basedOn w:val="9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4 - Accent 4"/>
    <w:basedOn w:val="9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4 - Accent 5"/>
    <w:basedOn w:val="9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4 - Accent 6"/>
    <w:basedOn w:val="98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5 Dark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5 Dark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5 Dark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5 Dark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5 Dark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5 Dark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6 Colorful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6 Colorful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6 Colorful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6 Colorful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6 Colorful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6 Colorful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7 Colorful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7 Colorful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7 Colorful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7 Colorful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7 Colorful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7 Colorful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1 Light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1 Light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1 Light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1 Light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1 Light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1 Light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2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2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2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2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2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2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3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3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3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3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3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3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4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4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4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4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4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4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5 Dark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5 Dark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5 Dark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5 Dark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5 Dark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5 Dark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6 Colorful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6 Colorful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6 Colorful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6 Colorful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6 Colorful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6 Colorful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7 Colorful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7 Colorful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7 Colorful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7 Colorful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7 Colorful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7 Colorful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ned - Accent 1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ned - Accent 2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ned - Accent 3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ned - Accent 4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ned - Accent 5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ned - Accent 6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 &amp; Lined - Accent 1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&amp; Lined - Accent 2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 &amp; Lined - Accent 3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&amp; Lined - Accent 4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&amp; Lined - Accent 5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&amp; Lined - Accent 6"/>
    <w:basedOn w:val="98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- Accent 1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- Accent 2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Bordered - Accent 3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Bordered - Accent 4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Bordered - Accent 5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Bordered - Accent 6"/>
    <w:basedOn w:val="98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4">
    <w:name w:val="Heading 1"/>
    <w:basedOn w:val="979"/>
    <w:next w:val="979"/>
    <w:link w:val="93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25">
    <w:name w:val="Heading 2"/>
    <w:basedOn w:val="979"/>
    <w:next w:val="979"/>
    <w:link w:val="93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26">
    <w:name w:val="Heading 3"/>
    <w:basedOn w:val="979"/>
    <w:next w:val="979"/>
    <w:link w:val="93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27">
    <w:name w:val="Heading 4"/>
    <w:basedOn w:val="979"/>
    <w:next w:val="979"/>
    <w:link w:val="93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28">
    <w:name w:val="Heading 5"/>
    <w:basedOn w:val="979"/>
    <w:next w:val="979"/>
    <w:link w:val="93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29">
    <w:name w:val="Heading 6"/>
    <w:basedOn w:val="979"/>
    <w:next w:val="979"/>
    <w:link w:val="93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30">
    <w:name w:val="Heading 7"/>
    <w:basedOn w:val="979"/>
    <w:next w:val="979"/>
    <w:link w:val="93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31">
    <w:name w:val="Heading 8"/>
    <w:basedOn w:val="979"/>
    <w:next w:val="979"/>
    <w:link w:val="94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32">
    <w:name w:val="Heading 9"/>
    <w:basedOn w:val="979"/>
    <w:next w:val="979"/>
    <w:link w:val="94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33">
    <w:name w:val="Heading 1 Char"/>
    <w:basedOn w:val="980"/>
    <w:link w:val="9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34">
    <w:name w:val="Heading 2 Char"/>
    <w:basedOn w:val="980"/>
    <w:link w:val="9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35">
    <w:name w:val="Heading 3 Char"/>
    <w:basedOn w:val="980"/>
    <w:link w:val="9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36">
    <w:name w:val="Heading 4 Char"/>
    <w:basedOn w:val="980"/>
    <w:link w:val="92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37">
    <w:name w:val="Heading 5 Char"/>
    <w:basedOn w:val="980"/>
    <w:link w:val="9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38">
    <w:name w:val="Heading 6 Char"/>
    <w:basedOn w:val="980"/>
    <w:link w:val="92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9">
    <w:name w:val="Heading 7 Char"/>
    <w:basedOn w:val="980"/>
    <w:link w:val="93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40">
    <w:name w:val="Heading 8 Char"/>
    <w:basedOn w:val="980"/>
    <w:link w:val="9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41">
    <w:name w:val="Heading 9 Char"/>
    <w:basedOn w:val="980"/>
    <w:link w:val="9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42">
    <w:name w:val="Title"/>
    <w:basedOn w:val="979"/>
    <w:next w:val="979"/>
    <w:link w:val="94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43">
    <w:name w:val="Title Char"/>
    <w:basedOn w:val="980"/>
    <w:link w:val="94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44">
    <w:name w:val="Subtitle"/>
    <w:basedOn w:val="979"/>
    <w:next w:val="979"/>
    <w:link w:val="94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45">
    <w:name w:val="Subtitle Char"/>
    <w:basedOn w:val="980"/>
    <w:link w:val="94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46">
    <w:name w:val="Quote"/>
    <w:basedOn w:val="979"/>
    <w:next w:val="979"/>
    <w:link w:val="94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47">
    <w:name w:val="Quote Char"/>
    <w:basedOn w:val="980"/>
    <w:link w:val="94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48">
    <w:name w:val="Intense Emphasis"/>
    <w:basedOn w:val="98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49">
    <w:name w:val="Intense Quote"/>
    <w:basedOn w:val="979"/>
    <w:next w:val="979"/>
    <w:link w:val="95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50">
    <w:name w:val="Intense Quote Char"/>
    <w:basedOn w:val="980"/>
    <w:link w:val="94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51">
    <w:name w:val="Intense Reference"/>
    <w:basedOn w:val="98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52">
    <w:name w:val="No Spacing"/>
    <w:basedOn w:val="979"/>
    <w:uiPriority w:val="1"/>
    <w:qFormat/>
    <w:pPr>
      <w:pBdr/>
      <w:spacing w:after="0" w:line="240" w:lineRule="auto"/>
      <w:ind/>
    </w:pPr>
  </w:style>
  <w:style w:type="character" w:styleId="953">
    <w:name w:val="Subtle Emphasis"/>
    <w:basedOn w:val="98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54">
    <w:name w:val="Emphasis"/>
    <w:basedOn w:val="980"/>
    <w:uiPriority w:val="20"/>
    <w:qFormat/>
    <w:pPr>
      <w:pBdr/>
      <w:spacing/>
      <w:ind/>
    </w:pPr>
    <w:rPr>
      <w:i/>
      <w:iCs/>
    </w:rPr>
  </w:style>
  <w:style w:type="character" w:styleId="955">
    <w:name w:val="Strong"/>
    <w:basedOn w:val="980"/>
    <w:uiPriority w:val="22"/>
    <w:qFormat/>
    <w:pPr>
      <w:pBdr/>
      <w:spacing/>
      <w:ind/>
    </w:pPr>
    <w:rPr>
      <w:b/>
      <w:bCs/>
    </w:rPr>
  </w:style>
  <w:style w:type="character" w:styleId="956">
    <w:name w:val="Subtle Reference"/>
    <w:basedOn w:val="98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7">
    <w:name w:val="Book Title"/>
    <w:basedOn w:val="98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8">
    <w:name w:val="Header Char"/>
    <w:basedOn w:val="980"/>
    <w:link w:val="986"/>
    <w:uiPriority w:val="99"/>
    <w:pPr>
      <w:pBdr/>
      <w:spacing/>
      <w:ind/>
    </w:pPr>
  </w:style>
  <w:style w:type="character" w:styleId="959">
    <w:name w:val="Footer Char"/>
    <w:basedOn w:val="980"/>
    <w:link w:val="988"/>
    <w:uiPriority w:val="99"/>
    <w:pPr>
      <w:pBdr/>
      <w:spacing/>
      <w:ind/>
    </w:pPr>
  </w:style>
  <w:style w:type="paragraph" w:styleId="960">
    <w:name w:val="Caption"/>
    <w:basedOn w:val="979"/>
    <w:next w:val="97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61">
    <w:name w:val="footnote text"/>
    <w:basedOn w:val="979"/>
    <w:link w:val="96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2">
    <w:name w:val="Footnote Text Char"/>
    <w:basedOn w:val="980"/>
    <w:link w:val="961"/>
    <w:uiPriority w:val="99"/>
    <w:semiHidden/>
    <w:pPr>
      <w:pBdr/>
      <w:spacing/>
      <w:ind/>
    </w:pPr>
    <w:rPr>
      <w:sz w:val="20"/>
      <w:szCs w:val="20"/>
    </w:rPr>
  </w:style>
  <w:style w:type="character" w:styleId="963">
    <w:name w:val="footnote reference"/>
    <w:basedOn w:val="980"/>
    <w:uiPriority w:val="99"/>
    <w:semiHidden/>
    <w:unhideWhenUsed/>
    <w:pPr>
      <w:pBdr/>
      <w:spacing/>
      <w:ind/>
    </w:pPr>
    <w:rPr>
      <w:vertAlign w:val="superscript"/>
    </w:rPr>
  </w:style>
  <w:style w:type="paragraph" w:styleId="964">
    <w:name w:val="endnote text"/>
    <w:basedOn w:val="979"/>
    <w:link w:val="96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5">
    <w:name w:val="Endnote Text Char"/>
    <w:basedOn w:val="980"/>
    <w:link w:val="964"/>
    <w:uiPriority w:val="99"/>
    <w:semiHidden/>
    <w:pPr>
      <w:pBdr/>
      <w:spacing/>
      <w:ind/>
    </w:pPr>
    <w:rPr>
      <w:sz w:val="20"/>
      <w:szCs w:val="20"/>
    </w:rPr>
  </w:style>
  <w:style w:type="character" w:styleId="966">
    <w:name w:val="endnote reference"/>
    <w:basedOn w:val="980"/>
    <w:uiPriority w:val="99"/>
    <w:semiHidden/>
    <w:unhideWhenUsed/>
    <w:pPr>
      <w:pBdr/>
      <w:spacing/>
      <w:ind/>
    </w:pPr>
    <w:rPr>
      <w:vertAlign w:val="superscript"/>
    </w:rPr>
  </w:style>
  <w:style w:type="character" w:styleId="967">
    <w:name w:val="FollowedHyperlink"/>
    <w:basedOn w:val="98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68">
    <w:name w:val="toc 1"/>
    <w:basedOn w:val="979"/>
    <w:next w:val="979"/>
    <w:uiPriority w:val="39"/>
    <w:unhideWhenUsed/>
    <w:pPr>
      <w:pBdr/>
      <w:spacing w:after="100"/>
      <w:ind/>
    </w:pPr>
  </w:style>
  <w:style w:type="paragraph" w:styleId="969">
    <w:name w:val="toc 2"/>
    <w:basedOn w:val="979"/>
    <w:next w:val="979"/>
    <w:uiPriority w:val="39"/>
    <w:unhideWhenUsed/>
    <w:pPr>
      <w:pBdr/>
      <w:spacing w:after="100"/>
      <w:ind w:left="220"/>
    </w:pPr>
  </w:style>
  <w:style w:type="paragraph" w:styleId="970">
    <w:name w:val="toc 3"/>
    <w:basedOn w:val="979"/>
    <w:next w:val="979"/>
    <w:uiPriority w:val="39"/>
    <w:unhideWhenUsed/>
    <w:pPr>
      <w:pBdr/>
      <w:spacing w:after="100"/>
      <w:ind w:left="440"/>
    </w:pPr>
  </w:style>
  <w:style w:type="paragraph" w:styleId="971">
    <w:name w:val="toc 4"/>
    <w:basedOn w:val="979"/>
    <w:next w:val="979"/>
    <w:uiPriority w:val="39"/>
    <w:unhideWhenUsed/>
    <w:pPr>
      <w:pBdr/>
      <w:spacing w:after="100"/>
      <w:ind w:left="660"/>
    </w:pPr>
  </w:style>
  <w:style w:type="paragraph" w:styleId="972">
    <w:name w:val="toc 5"/>
    <w:basedOn w:val="979"/>
    <w:next w:val="979"/>
    <w:uiPriority w:val="39"/>
    <w:unhideWhenUsed/>
    <w:pPr>
      <w:pBdr/>
      <w:spacing w:after="100"/>
      <w:ind w:left="880"/>
    </w:pPr>
  </w:style>
  <w:style w:type="paragraph" w:styleId="973">
    <w:name w:val="toc 6"/>
    <w:basedOn w:val="979"/>
    <w:next w:val="979"/>
    <w:uiPriority w:val="39"/>
    <w:unhideWhenUsed/>
    <w:pPr>
      <w:pBdr/>
      <w:spacing w:after="100"/>
      <w:ind w:left="1100"/>
    </w:pPr>
  </w:style>
  <w:style w:type="paragraph" w:styleId="974">
    <w:name w:val="toc 7"/>
    <w:basedOn w:val="979"/>
    <w:next w:val="979"/>
    <w:uiPriority w:val="39"/>
    <w:unhideWhenUsed/>
    <w:pPr>
      <w:pBdr/>
      <w:spacing w:after="100"/>
      <w:ind w:left="1320"/>
    </w:pPr>
  </w:style>
  <w:style w:type="paragraph" w:styleId="975">
    <w:name w:val="toc 8"/>
    <w:basedOn w:val="979"/>
    <w:next w:val="979"/>
    <w:uiPriority w:val="39"/>
    <w:unhideWhenUsed/>
    <w:pPr>
      <w:pBdr/>
      <w:spacing w:after="100"/>
      <w:ind w:left="1540"/>
    </w:pPr>
  </w:style>
  <w:style w:type="paragraph" w:styleId="976">
    <w:name w:val="toc 9"/>
    <w:basedOn w:val="979"/>
    <w:next w:val="979"/>
    <w:uiPriority w:val="39"/>
    <w:unhideWhenUsed/>
    <w:pPr>
      <w:pBdr/>
      <w:spacing w:after="100"/>
      <w:ind w:left="1760"/>
    </w:pPr>
  </w:style>
  <w:style w:type="paragraph" w:styleId="977">
    <w:name w:val="TOC Heading"/>
    <w:uiPriority w:val="39"/>
    <w:unhideWhenUsed/>
    <w:pPr>
      <w:pBdr/>
      <w:spacing/>
      <w:ind/>
    </w:pPr>
  </w:style>
  <w:style w:type="paragraph" w:styleId="978">
    <w:name w:val="table of figures"/>
    <w:basedOn w:val="979"/>
    <w:next w:val="979"/>
    <w:uiPriority w:val="99"/>
    <w:unhideWhenUsed/>
    <w:pPr>
      <w:pBdr/>
      <w:spacing w:after="0" w:afterAutospacing="0"/>
      <w:ind/>
    </w:pPr>
  </w:style>
  <w:style w:type="paragraph" w:styleId="979" w:default="1">
    <w:name w:val="Normal"/>
    <w:qFormat/>
    <w:pPr>
      <w:pBdr/>
      <w:spacing w:after="200" w:line="276" w:lineRule="auto"/>
      <w:ind/>
    </w:pPr>
    <w:rPr>
      <w:sz w:val="22"/>
      <w:szCs w:val="22"/>
      <w:lang w:eastAsia="en-US"/>
    </w:rPr>
  </w:style>
  <w:style w:type="character" w:styleId="980" w:default="1">
    <w:name w:val="Default Paragraph Font"/>
    <w:uiPriority w:val="1"/>
    <w:semiHidden/>
    <w:unhideWhenUsed/>
    <w:pPr>
      <w:pBdr/>
      <w:spacing/>
      <w:ind/>
    </w:pPr>
  </w:style>
  <w:style w:type="table" w:styleId="98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82" w:default="1">
    <w:name w:val="No List"/>
    <w:uiPriority w:val="99"/>
    <w:semiHidden/>
    <w:unhideWhenUsed/>
    <w:pPr>
      <w:pBdr/>
      <w:spacing/>
      <w:ind/>
    </w:pPr>
  </w:style>
  <w:style w:type="paragraph" w:styleId="983">
    <w:name w:val="List Paragraph"/>
    <w:basedOn w:val="979"/>
    <w:uiPriority w:val="34"/>
    <w:qFormat/>
    <w:pPr>
      <w:pBdr/>
      <w:spacing/>
      <w:ind w:left="720"/>
      <w:contextualSpacing w:val="true"/>
    </w:pPr>
  </w:style>
  <w:style w:type="table" w:styleId="984">
    <w:name w:val="Table Grid"/>
    <w:basedOn w:val="98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85" w:customStyle="1">
    <w:name w:val="ConsPlusNormal"/>
    <w:pPr>
      <w:widowControl w:val="false"/>
      <w:pBdr/>
      <w:spacing/>
      <w:ind w:firstLine="720"/>
    </w:pPr>
    <w:rPr>
      <w:rFonts w:ascii="Arial" w:hAnsi="Arial" w:eastAsia="Times New Roman" w:cs="Arial"/>
    </w:rPr>
  </w:style>
  <w:style w:type="paragraph" w:styleId="986">
    <w:name w:val="Header"/>
    <w:basedOn w:val="979"/>
    <w:link w:val="987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</w:rPr>
  </w:style>
  <w:style w:type="character" w:styleId="987" w:customStyle="1">
    <w:name w:val="Верхний колонтитул Знак"/>
    <w:link w:val="986"/>
    <w:uiPriority w:val="99"/>
    <w:pPr>
      <w:pBdr/>
      <w:spacing/>
      <w:ind/>
    </w:pPr>
    <w:rPr>
      <w:rFonts w:ascii="Calibri" w:hAnsi="Calibri" w:eastAsia="Calibri" w:cs="Times New Roman"/>
    </w:rPr>
  </w:style>
  <w:style w:type="paragraph" w:styleId="988">
    <w:name w:val="Footer"/>
    <w:basedOn w:val="979"/>
    <w:link w:val="989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89" w:customStyle="1">
    <w:name w:val="Нижний колонтитул Знак"/>
    <w:basedOn w:val="980"/>
    <w:link w:val="988"/>
    <w:uiPriority w:val="99"/>
    <w:pPr>
      <w:pBdr/>
      <w:spacing/>
      <w:ind/>
    </w:pPr>
  </w:style>
  <w:style w:type="paragraph" w:styleId="990">
    <w:name w:val="Balloon Text"/>
    <w:basedOn w:val="979"/>
    <w:link w:val="991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</w:rPr>
  </w:style>
  <w:style w:type="character" w:styleId="991" w:customStyle="1">
    <w:name w:val="Текст выноски Знак"/>
    <w:link w:val="990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92" w:customStyle="1">
    <w:name w:val="ConsPlusCell"/>
    <w:uiPriority w:val="99"/>
    <w:pPr>
      <w:widowControl w:val="false"/>
      <w:pBdr/>
      <w:spacing/>
      <w:ind/>
    </w:pPr>
    <w:rPr>
      <w:rFonts w:ascii="Arial" w:hAnsi="Arial" w:eastAsia="Times New Roman" w:cs="Arial"/>
    </w:rPr>
  </w:style>
  <w:style w:type="paragraph" w:styleId="993" w:customStyle="1">
    <w:name w:val="ConsPlusNonformat"/>
    <w:pPr>
      <w:pBdr/>
      <w:spacing/>
      <w:ind/>
    </w:pPr>
    <w:rPr>
      <w:rFonts w:ascii="Courier New" w:hAnsi="Courier New" w:eastAsia="Times New Roman" w:cs="Courier New"/>
    </w:rPr>
  </w:style>
  <w:style w:type="character" w:styleId="994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table" w:styleId="995" w:customStyle="1">
    <w:name w:val="Сетка таблицы1"/>
    <w:basedOn w:val="981"/>
    <w:next w:val="984"/>
    <w:pPr>
      <w:pBdr/>
      <w:spacing/>
      <w:ind/>
    </w:pPr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96">
    <w:name w:val="Placeholder Text"/>
    <w:basedOn w:val="980"/>
    <w:uiPriority w:val="99"/>
    <w:semiHidden/>
    <w:pPr>
      <w:pBdr/>
      <w:spacing/>
      <w:ind/>
    </w:pPr>
    <w:rPr>
      <w:color w:val="808080"/>
    </w:rPr>
  </w:style>
  <w:style w:type="paragraph" w:styleId="997" w:customStyle="1">
    <w:name w:val="Обычный (веб)"/>
    <w:uiPriority w:val="99"/>
    <w:unhideWhenUsed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9BBB5047-EDFA-4ACA-BDCE-DF87D4756376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revision>161</cp:revision>
  <dcterms:created xsi:type="dcterms:W3CDTF">2023-09-29T06:26:00Z</dcterms:created>
  <dcterms:modified xsi:type="dcterms:W3CDTF">2026-06-25T09:27:00Z</dcterms:modified>
</cp:coreProperties>
</file>