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2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ПОСТАНОВЛЕНИЕ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«___» _______ 20</w:t>
      </w:r>
      <w:r>
        <w:rPr>
          <w:rFonts w:ascii="Times New Roman" w:hAnsi="Times New Roman"/>
          <w:sz w:val="28"/>
          <w:szCs w:val="28"/>
        </w:rPr>
        <w:t xml:space="preserve">26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</w:rPr>
        <w:t xml:space="preserve">№ 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tabs>
          <w:tab w:val="left" w:leader="none" w:pos="851"/>
          <w:tab w:val="left" w:leader="none" w:pos="2127"/>
          <w:tab w:val="left" w:leader="none" w:pos="3544"/>
          <w:tab w:val="left" w:leader="none" w:pos="3686"/>
          <w:tab w:val="left" w:leader="none" w:pos="4394"/>
          <w:tab w:val="left" w:leader="none" w:pos="5103"/>
        </w:tabs>
        <w:spacing w:after="0" w:line="240" w:lineRule="auto"/>
        <w:ind w:right="5528" w:firstLine="0" w:left="0"/>
        <w:jc w:val="both"/>
        <w:rPr>
          <w:rFonts w:ascii="Times New Roman" w:hAnsi="Times New Roman"/>
          <w:sz w:val="28"/>
          <w:szCs w:val="28"/>
          <w:highlight w:val="cyan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внесении изменени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я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 в </w:t>
      </w:r>
      <w:bookmarkStart w:id="1" w:name="_Hlk18594701"/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римерный перечень государственных услуг и работ, оказываемых и выполняемых государственными учрежден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иям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и и фин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ансируемых за счет средств бюджета Республики Татарстан, в разрезе видов учреждений и 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  <w:t xml:space="preserve">отдельных государственных учреждений Республики</w:t>
        <w:br/>
        <w:t xml:space="preserve">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sz w:val="28"/>
          <w:szCs w:val="28"/>
          <w:highlight w:val="cyan"/>
        </w:rPr>
      </w:r>
      <w:r>
        <w:rPr>
          <w:rFonts w:ascii="Times New Roman" w:hAnsi="Times New Roman"/>
          <w:sz w:val="28"/>
          <w:szCs w:val="28"/>
          <w:highlight w:val="cyan"/>
        </w:rPr>
      </w:r>
    </w:p>
    <w:p>
      <w:pPr>
        <w:pStyle w:val="95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</w:pPr>
      <w:r/>
      <w:bookmarkEnd w:id="1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 w14:paraId="334C5B53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Внести в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переч</w:t>
      </w:r>
      <w:r>
        <w:rPr>
          <w:rFonts w:ascii="Times New Roman" w:hAnsi="Times New Roman"/>
          <w:sz w:val="28"/>
          <w:szCs w:val="28"/>
        </w:rPr>
        <w:t xml:space="preserve">ень</w:t>
      </w:r>
      <w:r>
        <w:rPr>
          <w:rFonts w:ascii="Times New Roman" w:hAnsi="Times New Roman"/>
          <w:sz w:val="28"/>
          <w:szCs w:val="28"/>
        </w:rPr>
        <w:t xml:space="preserve">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</w:t>
      </w:r>
      <w:r>
        <w:rPr>
          <w:rFonts w:ascii="Times New Roman" w:hAnsi="Times New Roman"/>
          <w:sz w:val="28"/>
          <w:szCs w:val="28"/>
        </w:rPr>
        <w:t xml:space="preserve">ый</w:t>
      </w:r>
      <w:r>
        <w:rPr>
          <w:rFonts w:ascii="Times New Roman" w:hAnsi="Times New Roman"/>
          <w:sz w:val="28"/>
          <w:szCs w:val="28"/>
        </w:rPr>
        <w:t xml:space="preserve"> постановлением Кабинета Министров Республики Татарстан от 29.09.2015 № 726 «Об утверждении 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римерного перечня государственных услуг и работ, оказываемых и выполняемых государственными учреждениями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Татарстан»</w:t>
      </w:r>
      <w:r>
        <w:rPr>
          <w:rFonts w:ascii="Times New Roman" w:hAnsi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25.12.2015 № 974, от 14.01.2016 № 12, от 02.11.2016 № 807, от 31.12.2016 № 1094, от 27.06.2017 № 441, от 27.11.2017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914, от 27.12.2017 № 1062, от 26.04.2018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296, от 26.11.2018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1053, от 13.12.2018</w:t>
        <w:br/>
        <w:t xml:space="preserve">№ 1128,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28.08.2019 № 732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07.</w:t>
      </w: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.2019 № 892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30.12.2019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1248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15.05.2020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391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18.08.2020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704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25.09.2020</w:t>
      </w:r>
      <w:r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 xml:space="preserve">873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25.12.2020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1190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от 27.01.2021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45, от 21.07.2021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627, от 13.08.2021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719,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15.11.2021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1075, от 27.12.2021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1294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23.03.2022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260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10.05.2022</w:t>
        <w:br/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426, от 16.05.2022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449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03.08.2022 № 755</w:t>
      </w:r>
      <w:r>
        <w:rPr>
          <w:rFonts w:ascii="Times New Roman" w:hAnsi="Times New Roman"/>
          <w:sz w:val="28"/>
          <w:szCs w:val="28"/>
        </w:rPr>
        <w:t xml:space="preserve">, от </w:t>
      </w:r>
      <w:r>
        <w:rPr>
          <w:rFonts w:ascii="Times New Roman" w:hAnsi="Times New Roman"/>
          <w:sz w:val="28"/>
          <w:szCs w:val="28"/>
        </w:rPr>
        <w:t xml:space="preserve">18.11.2022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1233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27.01.2023 № 57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11.02.2023 № 140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25.03.2023 № 351, от 18.04.2023 № 489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03.07.2023 № 773</w:t>
      </w:r>
      <w:r>
        <w:rPr>
          <w:rFonts w:ascii="Times New Roman" w:hAnsi="Times New Roman"/>
          <w:sz w:val="28"/>
          <w:szCs w:val="28"/>
        </w:rPr>
        <w:t xml:space="preserve">, от 24.08.2023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1010, от 23.10.2023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1337</w:t>
      </w:r>
      <w:r>
        <w:rPr>
          <w:rFonts w:ascii="Times New Roman" w:hAnsi="Times New Roman"/>
          <w:sz w:val="28"/>
          <w:szCs w:val="28"/>
        </w:rPr>
        <w:t xml:space="preserve">,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от 15.12.2023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№</w:t>
      </w:r>
      <w:r>
        <w:rPr>
          <w:rFonts w:ascii="Times New Roman" w:hAnsi="Times New Roman"/>
          <w:sz w:val="28"/>
          <w:szCs w:val="28"/>
        </w:rPr>
        <w:t xml:space="preserve"> 1628, от 29.01.2024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38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 xml:space="preserve">от 07.03.2024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128,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01.04.2024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211, от 25.04.2024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275, от 07.05.2024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309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19.07.2024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581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от 23.10.2024 </w:t>
      </w:r>
      <w:r>
        <w:rPr>
          <w:rFonts w:ascii="Times New Roman" w:hAnsi="Times New Roman"/>
          <w:sz w:val="28"/>
          <w:szCs w:val="28"/>
        </w:rPr>
        <w:t xml:space="preserve">№</w:t>
      </w:r>
      <w:r>
        <w:rPr>
          <w:rFonts w:ascii="Times New Roman" w:hAnsi="Times New Roman"/>
          <w:sz w:val="28"/>
          <w:szCs w:val="28"/>
        </w:rPr>
        <w:t xml:space="preserve"> 917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30.12.2024 № 1267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26.05.2025 № 359, </w:t>
      </w:r>
      <w:r>
        <w:rPr>
          <w:rFonts w:ascii="Times New Roman" w:hAnsi="Times New Roman"/>
          <w:sz w:val="28"/>
          <w:szCs w:val="28"/>
          <w:highlight w:val="none"/>
        </w:rPr>
        <w:t xml:space="preserve">от 17.07.2025 № 523, от 25.12.2025 № 1148,</w:t>
      </w:r>
      <w:r>
        <w:rPr>
          <w:rFonts w:ascii="Times New Roman" w:hAnsi="Times New Roman"/>
          <w:sz w:val="28"/>
          <w:szCs w:val="28"/>
          <w:highlight w:val="none"/>
        </w:rPr>
        <w:br/>
        <w:t xml:space="preserve">от 30.12.2025 № 1220</w:t>
      </w:r>
      <w:r>
        <w:rPr>
          <w:rFonts w:ascii="Times New Roman" w:hAnsi="Times New Roman"/>
          <w:sz w:val="28"/>
          <w:szCs w:val="28"/>
          <w:highlight w:val="none"/>
        </w:rPr>
        <w:t xml:space="preserve">, от 17.03.2026 № 228, от 23.03.2026 № 263,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10.04.2026</w:t>
        <w:br/>
        <w:t xml:space="preserve">№ 388)</w:t>
      </w:r>
      <w:r>
        <w:rPr>
          <w:rFonts w:ascii="Times New Roman" w:hAnsi="Times New Roman"/>
          <w:sz w:val="28"/>
          <w:szCs w:val="28"/>
        </w:rPr>
        <w:t xml:space="preserve">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изменени</w:t>
      </w:r>
      <w:r>
        <w:rPr>
          <w:rFonts w:ascii="Times New Roman" w:hAnsi="Times New Roman"/>
          <w:sz w:val="28"/>
          <w:szCs w:val="28"/>
        </w:rPr>
        <w:t xml:space="preserve">е, изложив </w:t>
      </w:r>
      <w:r>
        <w:rPr>
          <w:rFonts w:ascii="Times New Roman" w:hAnsi="Times New Roman"/>
          <w:sz w:val="28"/>
          <w:szCs w:val="28"/>
          <w:highlight w:val="none"/>
        </w:rPr>
        <w:t xml:space="preserve">пункт 4.13 в следующей редакции: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08399FD7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tbl>
      <w:tblPr>
        <w:tblStyle w:val="765"/>
        <w:tblInd w:w="15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559"/>
        <w:gridCol w:w="992"/>
        <w:gridCol w:w="1701"/>
        <w:gridCol w:w="142"/>
        <w:gridCol w:w="142"/>
        <w:gridCol w:w="850"/>
        <w:gridCol w:w="1276"/>
        <w:gridCol w:w="1276"/>
        <w:gridCol w:w="908"/>
      </w:tblGrid>
      <w:tr>
        <w:trPr>
          <w:trHeight w:val="422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59" w:type="dxa"/>
            <w:vAlign w:val="top"/>
            <w:vMerge w:val="restart"/>
          </w:tcPr>
          <w:p w14:paraId="5F056D5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«4.13. Государственное автономное учреждение «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Республиканский центр психолого-педагогической, медицинской и социальной помощи «Росток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»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703B57D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880900О.99.0.БА86АА02000;</w:t>
            </w:r>
            <w:r>
              <w:rPr>
                <w:sz w:val="22"/>
                <w:szCs w:val="22"/>
              </w:rPr>
            </w:r>
          </w:p>
          <w:p w14:paraId="006D2D6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880900О.99.0.ББ00АА02000;</w:t>
            </w:r>
            <w:r>
              <w:rPr>
                <w:sz w:val="22"/>
                <w:szCs w:val="22"/>
              </w:rPr>
            </w:r>
          </w:p>
          <w:p w14:paraId="173E9DC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880900О.99.0.ББ15АА02000;</w:t>
            </w:r>
            <w:r>
              <w:rPr>
                <w:sz w:val="22"/>
                <w:szCs w:val="22"/>
              </w:rPr>
            </w:r>
          </w:p>
          <w:p w14:paraId="651234E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853212О.99.0.БВ22АА02001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</w:tcPr>
          <w:p w14:paraId="7063679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</w:tcPr>
          <w:p w14:paraId="0201D0A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коррекционно-развивающая, компенсирующая и логопедическая помощь обучающимся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2" w:type="dxa"/>
            <w:vAlign w:val="top"/>
          </w:tcPr>
          <w:p w14:paraId="73BEAED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2" w:type="dxa"/>
            <w:vAlign w:val="top"/>
          </w:tcPr>
          <w:p w14:paraId="6DF6083A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</w:tcPr>
          <w:p w14:paraId="6B075401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место получения услуги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</w:tcPr>
          <w:p w14:paraId="2312FA5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 центре психолого-педагогической, медицинской и социальной помощи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</w:tcPr>
          <w:p w14:paraId="56E5198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начальное общее образование;</w:t>
            </w:r>
            <w:r>
              <w:rPr>
                <w:sz w:val="22"/>
                <w:szCs w:val="22"/>
              </w:rPr>
            </w:r>
          </w:p>
          <w:p w14:paraId="61A9560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основное общее образование;</w:t>
            </w:r>
            <w:r>
              <w:rPr>
                <w:sz w:val="22"/>
                <w:szCs w:val="22"/>
              </w:rPr>
            </w:r>
          </w:p>
          <w:p w14:paraId="7180668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среднее общее образование;</w:t>
            </w:r>
            <w:r>
              <w:rPr>
                <w:sz w:val="22"/>
                <w:szCs w:val="22"/>
              </w:rPr>
            </w:r>
          </w:p>
          <w:p w14:paraId="1FE4DF1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дошкольное образование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08" w:type="dxa"/>
            <w:vAlign w:val="top"/>
          </w:tcPr>
          <w:p w14:paraId="5609FDE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</w:t>
              <w:br/>
              <w:t xml:space="preserve">ОБПУ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</w:tcPr>
          <w:p w14:paraId="07A59899">
            <w:pPr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</w:tcPr>
          <w:p w14:paraId="2DF334E9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БА85;</w:t>
            </w:r>
            <w:r>
              <w:rPr>
                <w:sz w:val="22"/>
                <w:szCs w:val="22"/>
              </w:rPr>
            </w:r>
          </w:p>
          <w:p w14:paraId="658C312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БА99;</w:t>
            </w:r>
            <w:r>
              <w:rPr>
                <w:sz w:val="22"/>
                <w:szCs w:val="22"/>
              </w:rPr>
            </w:r>
          </w:p>
          <w:p w14:paraId="2E0223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ББ14;</w:t>
            </w:r>
            <w:r>
              <w:rPr>
                <w:sz w:val="22"/>
                <w:szCs w:val="22"/>
              </w:rPr>
            </w:r>
          </w:p>
          <w:p w14:paraId="0123919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БВ21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</w:tcPr>
          <w:p w14:paraId="20E0AA1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услуга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</w:tcPr>
          <w:p w14:paraId="20FF05F8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психолого-педагогическое консультирование обучающихся, их родителей (законных представителей) и педагогических работников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2" w:type="dxa"/>
            <w:vAlign w:val="top"/>
          </w:tcPr>
          <w:p w14:paraId="726677B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2" w:type="dxa"/>
            <w:vAlign w:val="top"/>
          </w:tcPr>
          <w:p w14:paraId="1D3A426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</w:tcPr>
          <w:p w14:paraId="5C6F58A0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форма оказания услуги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</w:tcPr>
          <w:p w14:paraId="5D705834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ОБПУ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</w:tcPr>
          <w:p w14:paraId="657AAF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начальное общее образование;</w:t>
            </w:r>
            <w:r>
              <w:rPr>
                <w:sz w:val="22"/>
                <w:szCs w:val="22"/>
              </w:rPr>
            </w:r>
          </w:p>
          <w:p w14:paraId="076581B2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основное общее образование;</w:t>
            </w:r>
            <w:r>
              <w:rPr>
                <w:sz w:val="22"/>
                <w:szCs w:val="22"/>
              </w:rPr>
            </w:r>
          </w:p>
          <w:p w14:paraId="35B944AF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среднее общее образование; дошкольное образование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08" w:type="dxa"/>
            <w:vAlign w:val="top"/>
          </w:tcPr>
          <w:p w14:paraId="616F20C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</w:t>
              <w:br/>
              <w:t xml:space="preserve">ОБПУ</w:t>
            </w: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Merge w:val="continue"/>
          </w:tcPr>
          <w:p w14:paraId="28C0A45F">
            <w:pPr>
              <w:pBdr/>
              <w:spacing/>
              <w:ind/>
              <w:rPr/>
            </w:pP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559" w:type="dxa"/>
            <w:vAlign w:val="top"/>
            <w:vMerge w:val="restart"/>
          </w:tcPr>
          <w:p w14:paraId="5FEB6BF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750000Р.16.1.МП10АА27000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92" w:type="dxa"/>
            <w:vAlign w:val="top"/>
            <w:vMerge w:val="restart"/>
          </w:tcPr>
          <w:p w14:paraId="0219E83D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работа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701" w:type="dxa"/>
            <w:vAlign w:val="top"/>
            <w:vMerge w:val="restart"/>
          </w:tcPr>
          <w:p w14:paraId="783A884B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организация мероприятий, направленных на профилактику асоциального и деструктивного поведения подростков и молодежи, поддержка детей и молодежи, находящейся в социально-опасном положении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2" w:type="dxa"/>
            <w:vAlign w:val="top"/>
            <w:vMerge w:val="restart"/>
          </w:tcPr>
          <w:p w14:paraId="043B06FC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42" w:type="dxa"/>
            <w:vAlign w:val="top"/>
            <w:vMerge w:val="restart"/>
          </w:tcPr>
          <w:p w14:paraId="7E950B05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850" w:type="dxa"/>
            <w:vAlign w:val="top"/>
            <w:vMerge w:val="restart"/>
          </w:tcPr>
          <w:p w14:paraId="2DECD5A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</w:tcPr>
          <w:p w14:paraId="443A3C2E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1276" w:type="dxa"/>
            <w:vAlign w:val="top"/>
            <w:vMerge w:val="restart"/>
          </w:tcPr>
          <w:p w14:paraId="08FA9313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молодежная политика</w:t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57" w:type="dxa"/>
              <w:top w:w="0" w:type="dxa"/>
              <w:right w:w="57" w:type="dxa"/>
              <w:bottom w:w="0" w:type="dxa"/>
            </w:tcMar>
            <w:tcW w:w="908" w:type="dxa"/>
            <w:vAlign w:val="top"/>
            <w:vMerge w:val="restart"/>
          </w:tcPr>
          <w:p w14:paraId="5F44C106"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 w:line="240" w:lineRule="auto"/>
              <w:ind w:right="0" w:firstLine="0" w:left="0"/>
              <w:jc w:val="center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  <w:t xml:space="preserve">выбор из РПУР».</w:t>
            </w:r>
            <w:r>
              <w:rPr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</w:rPr>
            </w:r>
          </w:p>
        </w:tc>
      </w:tr>
    </w:tbl>
    <w:p w14:paraId="7ACC5D1A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63116323">
      <w:pPr>
        <w:pStyle w:val="952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74DB7F41"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2"/>
        <w:pBdr/>
        <w:spacing w:after="0" w:line="240" w:lineRule="auto"/>
        <w:ind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Премьер-министр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</w:rPr>
        <w:sectPr>
          <w:headerReference w:type="default" r:id="rId9"/>
          <w:headerReference w:type="first" r:id="rId10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</w:rPr>
        <w:t xml:space="preserve">Республики Татарстан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А.В Песошин</w:t>
      </w:r>
      <w:r>
        <w:rPr>
          <w:rFonts w:ascii="Times New Roman" w:hAnsi="Times New Roman"/>
          <w:sz w:val="28"/>
          <w:szCs w:val="28"/>
        </w:rPr>
        <w:tab/>
        <w:tab/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2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2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2"/>
        <w:pBdr/>
        <w:spacing w:after="0" w:line="300" w:lineRule="auto"/>
        <w:ind/>
        <w:contextualSpacing w:val="true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внесении изменени</w:t>
      </w:r>
      <w:r>
        <w:rPr>
          <w:rFonts w:ascii="Times New Roman" w:hAnsi="Times New Roman"/>
          <w:b/>
          <w:sz w:val="28"/>
          <w:szCs w:val="28"/>
        </w:rPr>
        <w:t xml:space="preserve">я</w:t>
      </w:r>
      <w:r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 xml:space="preserve">п</w:t>
      </w:r>
      <w:r>
        <w:rPr>
          <w:rFonts w:ascii="Times New Roman" w:hAnsi="Times New Roman"/>
          <w:b/>
          <w:sz w:val="28"/>
          <w:szCs w:val="28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b/>
          <w:sz w:val="28"/>
          <w:szCs w:val="28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b/>
          <w:sz w:val="28"/>
          <w:szCs w:val="28"/>
        </w:rPr>
        <w:t xml:space="preserve">»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952"/>
        <w:pBdr/>
        <w:spacing w:after="0" w:line="30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 w14:paraId="60881337"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«О внесении изменени</w:t>
      </w:r>
      <w:r>
        <w:rPr>
          <w:rFonts w:ascii="Times New Roman" w:hAnsi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/>
          <w:sz w:val="28"/>
          <w:szCs w:val="28"/>
          <w:highlight w:val="none"/>
        </w:rPr>
        <w:t xml:space="preserve"> в </w:t>
      </w:r>
      <w:r>
        <w:rPr>
          <w:rFonts w:ascii="Times New Roman" w:hAnsi="Times New Roman"/>
          <w:sz w:val="28"/>
          <w:szCs w:val="28"/>
          <w:highlight w:val="none"/>
        </w:rPr>
        <w:t xml:space="preserve">п</w:t>
      </w:r>
      <w:r>
        <w:rPr>
          <w:rFonts w:ascii="Times New Roman" w:hAnsi="Times New Roman"/>
          <w:sz w:val="28"/>
          <w:szCs w:val="28"/>
          <w:highlight w:val="none"/>
        </w:rPr>
        <w:t xml:space="preserve">римерный перечень государственных услуг и работ, оказываемых и выполняемых государственными учреждениям</w:t>
      </w:r>
      <w:r>
        <w:rPr>
          <w:rFonts w:ascii="Times New Roman" w:hAnsi="Times New Roman"/>
          <w:sz w:val="28"/>
          <w:szCs w:val="28"/>
          <w:highlight w:val="none"/>
        </w:rPr>
        <w:t xml:space="preserve">и и финансируемых за счет средств бюджета Республики Татарстан, в разрезе видов учреждений и отдельных государственных учреждений Республики Татарстан, утвержденный постановлением Кабинета Министров Республики Татарстан от 29.09.2015 № 726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Примерный перечень)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государственным бюджетным учреждением «Центр экономических и социальных исследований Республики Татарстан при Кабинете Министров Республики Татарстан»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  <w:t xml:space="preserve">во исполнение пункта 5 </w:t>
      </w:r>
      <w:r>
        <w:rPr>
          <w:rFonts w:ascii="Times New Roman" w:hAnsi="Times New Roman"/>
          <w:sz w:val="28"/>
          <w:szCs w:val="28"/>
          <w:highlight w:val="none"/>
        </w:rPr>
        <w:t xml:space="preserve">постановления Кабинета Министров Республики Татарстан от 29.05.2026 № 752</w:t>
      </w:r>
      <w:r>
        <w:rPr>
          <w:rFonts w:ascii="Times New Roman" w:hAnsi="Times New Roman"/>
          <w:sz w:val="28"/>
          <w:szCs w:val="28"/>
          <w:highlight w:val="none"/>
        </w:rPr>
        <w:t xml:space="preserve"> «О переименовании государственного автономного образовательного учреждения для детей, нуждающихся в оказании психолого-педагогической и медико-социальной помощи «Центр психолого-педагогической реабилитации и коррекции «Росток»</w:t>
      </w:r>
      <w:r>
        <w:rPr>
          <w:rFonts w:ascii="Times New Roman" w:hAnsi="Times New Roman"/>
          <w:sz w:val="28"/>
          <w:szCs w:val="28"/>
          <w:highlight w:val="none"/>
        </w:rPr>
        <w:t xml:space="preserve"> (далее – ГАУ «Росток»).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 w14:paraId="1238524E"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Проектом постановления внос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тся изменения в пункт 4.13 Примерного перечня в части корректировки состава государственных услуг (работ), закрепляемых за </w:t>
      </w:r>
      <w:r>
        <w:rPr>
          <w:rFonts w:ascii="Times New Roman" w:hAnsi="Times New Roman"/>
          <w:sz w:val="28"/>
          <w:szCs w:val="28"/>
          <w:highlight w:val="none"/>
        </w:rPr>
        <w:t xml:space="preserve">ГАУ «Росток»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pStyle w:val="952"/>
        <w:pBdr/>
        <w:spacing w:after="0" w:line="300" w:lineRule="auto"/>
        <w:ind w:firstLine="709"/>
        <w:jc w:val="both"/>
        <w:rPr/>
      </w:pPr>
      <w:r>
        <w:rPr>
          <w:rFonts w:ascii="Times New Roman" w:hAnsi="Times New Roman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Необходимость в проведении оценки регулирующего воздействия проекта постановления 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отсутствует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952"/>
        <w:pBdr/>
        <w:spacing w:after="0" w:line="30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567" w:bottom="1134" w:left="1418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59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8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6"/>
  </w:num>
  <w:num w:numId="9">
    <w:abstractNumId w:val="11"/>
  </w:num>
  <w:num w:numId="10">
    <w:abstractNumId w:val="12"/>
  </w:num>
  <w:num w:numId="11">
    <w:abstractNumId w:val="17"/>
  </w:num>
  <w:num w:numId="12">
    <w:abstractNumId w:val="2"/>
  </w:num>
  <w:num w:numId="13">
    <w:abstractNumId w:val="0"/>
  </w:num>
  <w:num w:numId="14">
    <w:abstractNumId w:val="18"/>
  </w:num>
  <w:num w:numId="15">
    <w:abstractNumId w:val="8"/>
  </w:num>
  <w:num w:numId="16">
    <w:abstractNumId w:val="1"/>
  </w:num>
  <w:num w:numId="17">
    <w:abstractNumId w:val="15"/>
  </w:num>
  <w:num w:numId="18">
    <w:abstractNumId w:val="14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3">
    <w:name w:val="Placeholder Text"/>
    <w:basedOn w:val="900"/>
    <w:uiPriority w:val="99"/>
    <w:semiHidden/>
    <w:pPr>
      <w:pBdr/>
      <w:spacing/>
      <w:ind/>
    </w:pPr>
    <w:rPr>
      <w:color w:val="666666"/>
    </w:rPr>
  </w:style>
  <w:style w:type="table" w:styleId="76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Table Grid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Table Grid Light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1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2"/>
    <w:basedOn w:val="76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1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2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3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4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5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6"/>
    <w:basedOn w:val="76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1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2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3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4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5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6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1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2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3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4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5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6"/>
    <w:basedOn w:val="76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1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2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3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4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5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6"/>
    <w:basedOn w:val="76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1">
    <w:name w:val="Heading 1"/>
    <w:basedOn w:val="952"/>
    <w:next w:val="952"/>
    <w:link w:val="9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2">
    <w:name w:val="Heading 2"/>
    <w:basedOn w:val="952"/>
    <w:next w:val="952"/>
    <w:link w:val="9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3">
    <w:name w:val="Heading 3"/>
    <w:basedOn w:val="952"/>
    <w:next w:val="952"/>
    <w:link w:val="9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4">
    <w:name w:val="Heading 4"/>
    <w:basedOn w:val="952"/>
    <w:next w:val="952"/>
    <w:link w:val="9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5">
    <w:name w:val="Heading 5"/>
    <w:basedOn w:val="952"/>
    <w:next w:val="952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6">
    <w:name w:val="Heading 6"/>
    <w:basedOn w:val="952"/>
    <w:next w:val="952"/>
    <w:link w:val="9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7">
    <w:name w:val="Heading 7"/>
    <w:basedOn w:val="952"/>
    <w:next w:val="952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8">
    <w:name w:val="Heading 8"/>
    <w:basedOn w:val="952"/>
    <w:next w:val="952"/>
    <w:link w:val="9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9">
    <w:name w:val="Heading 9"/>
    <w:basedOn w:val="952"/>
    <w:next w:val="952"/>
    <w:link w:val="9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0" w:default="1">
    <w:name w:val="Default Paragraph Font"/>
    <w:uiPriority w:val="1"/>
    <w:semiHidden/>
    <w:unhideWhenUsed/>
    <w:pPr>
      <w:pBdr/>
      <w:spacing/>
      <w:ind/>
    </w:pPr>
  </w:style>
  <w:style w:type="numbering" w:styleId="901" w:default="1">
    <w:name w:val="No List"/>
    <w:uiPriority w:val="99"/>
    <w:semiHidden/>
    <w:unhideWhenUsed/>
    <w:pPr>
      <w:pBdr/>
      <w:spacing/>
      <w:ind/>
    </w:pPr>
  </w:style>
  <w:style w:type="character" w:styleId="902">
    <w:name w:val="Heading 1 Char"/>
    <w:basedOn w:val="900"/>
    <w:link w:val="89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3">
    <w:name w:val="Heading 2 Char"/>
    <w:basedOn w:val="900"/>
    <w:link w:val="89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4">
    <w:name w:val="Heading 3 Char"/>
    <w:basedOn w:val="900"/>
    <w:link w:val="8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5">
    <w:name w:val="Heading 4 Char"/>
    <w:basedOn w:val="900"/>
    <w:link w:val="89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6">
    <w:name w:val="Heading 5 Char"/>
    <w:basedOn w:val="900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7">
    <w:name w:val="Heading 6 Char"/>
    <w:basedOn w:val="900"/>
    <w:link w:val="89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8">
    <w:name w:val="Heading 7 Char"/>
    <w:basedOn w:val="900"/>
    <w:link w:val="89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9">
    <w:name w:val="Heading 8 Char"/>
    <w:basedOn w:val="900"/>
    <w:link w:val="8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0">
    <w:name w:val="Heading 9 Char"/>
    <w:basedOn w:val="900"/>
    <w:link w:val="89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1">
    <w:name w:val="Title"/>
    <w:basedOn w:val="952"/>
    <w:next w:val="952"/>
    <w:link w:val="9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2">
    <w:name w:val="Title Char"/>
    <w:basedOn w:val="900"/>
    <w:link w:val="9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3">
    <w:name w:val="Subtitle"/>
    <w:basedOn w:val="952"/>
    <w:next w:val="952"/>
    <w:link w:val="9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4">
    <w:name w:val="Subtitle Char"/>
    <w:basedOn w:val="900"/>
    <w:link w:val="9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5">
    <w:name w:val="Quote"/>
    <w:basedOn w:val="952"/>
    <w:next w:val="952"/>
    <w:link w:val="9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6">
    <w:name w:val="Quote Char"/>
    <w:basedOn w:val="900"/>
    <w:link w:val="915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7">
    <w:name w:val="List Paragraph"/>
    <w:basedOn w:val="952"/>
    <w:uiPriority w:val="34"/>
    <w:qFormat/>
    <w:pPr>
      <w:pBdr/>
      <w:spacing/>
      <w:ind w:left="720"/>
      <w:contextualSpacing w:val="true"/>
    </w:pPr>
  </w:style>
  <w:style w:type="character" w:styleId="918">
    <w:name w:val="Intense Emphasis"/>
    <w:basedOn w:val="900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9">
    <w:name w:val="Intense Quote"/>
    <w:basedOn w:val="952"/>
    <w:next w:val="952"/>
    <w:link w:val="92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0">
    <w:name w:val="Intense Quote Char"/>
    <w:basedOn w:val="900"/>
    <w:link w:val="91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1">
    <w:name w:val="Intense Reference"/>
    <w:basedOn w:val="900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2">
    <w:name w:val="No Spacing"/>
    <w:basedOn w:val="952"/>
    <w:uiPriority w:val="1"/>
    <w:qFormat/>
    <w:pPr>
      <w:pBdr/>
      <w:spacing w:after="0" w:line="240" w:lineRule="auto"/>
      <w:ind/>
    </w:pPr>
  </w:style>
  <w:style w:type="character" w:styleId="923">
    <w:name w:val="Subtle Emphasis"/>
    <w:basedOn w:val="900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4">
    <w:name w:val="Emphasis"/>
    <w:basedOn w:val="900"/>
    <w:uiPriority w:val="20"/>
    <w:qFormat/>
    <w:pPr>
      <w:pBdr/>
      <w:spacing/>
      <w:ind/>
    </w:pPr>
    <w:rPr>
      <w:i/>
      <w:iCs/>
    </w:rPr>
  </w:style>
  <w:style w:type="character" w:styleId="925">
    <w:name w:val="Strong"/>
    <w:basedOn w:val="900"/>
    <w:uiPriority w:val="22"/>
    <w:qFormat/>
    <w:pPr>
      <w:pBdr/>
      <w:spacing/>
      <w:ind/>
    </w:pPr>
    <w:rPr>
      <w:b/>
      <w:bCs/>
    </w:rPr>
  </w:style>
  <w:style w:type="character" w:styleId="926">
    <w:name w:val="Subtle Reference"/>
    <w:basedOn w:val="900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7">
    <w:name w:val="Book Title"/>
    <w:basedOn w:val="900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8">
    <w:name w:val="Header"/>
    <w:basedOn w:val="952"/>
    <w:link w:val="9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29">
    <w:name w:val="Header Char"/>
    <w:basedOn w:val="900"/>
    <w:link w:val="928"/>
    <w:uiPriority w:val="99"/>
    <w:pPr>
      <w:pBdr/>
      <w:spacing/>
      <w:ind/>
    </w:pPr>
  </w:style>
  <w:style w:type="paragraph" w:styleId="930">
    <w:name w:val="Footer"/>
    <w:basedOn w:val="952"/>
    <w:link w:val="93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1">
    <w:name w:val="Footer Char"/>
    <w:basedOn w:val="900"/>
    <w:link w:val="930"/>
    <w:uiPriority w:val="99"/>
    <w:pPr>
      <w:pBdr/>
      <w:spacing/>
      <w:ind/>
    </w:pPr>
  </w:style>
  <w:style w:type="paragraph" w:styleId="932">
    <w:name w:val="Caption"/>
    <w:basedOn w:val="952"/>
    <w:next w:val="9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3">
    <w:name w:val="footnote text"/>
    <w:basedOn w:val="952"/>
    <w:link w:val="93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4">
    <w:name w:val="Footnote Text Char"/>
    <w:basedOn w:val="900"/>
    <w:link w:val="933"/>
    <w:uiPriority w:val="99"/>
    <w:semiHidden/>
    <w:pPr>
      <w:pBdr/>
      <w:spacing/>
      <w:ind/>
    </w:pPr>
    <w:rPr>
      <w:sz w:val="20"/>
      <w:szCs w:val="20"/>
    </w:rPr>
  </w:style>
  <w:style w:type="character" w:styleId="935">
    <w:name w:val="foot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paragraph" w:styleId="936">
    <w:name w:val="endnote text"/>
    <w:basedOn w:val="952"/>
    <w:link w:val="93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7">
    <w:name w:val="Endnote Text Char"/>
    <w:basedOn w:val="900"/>
    <w:link w:val="936"/>
    <w:uiPriority w:val="99"/>
    <w:semiHidden/>
    <w:pPr>
      <w:pBdr/>
      <w:spacing/>
      <w:ind/>
    </w:pPr>
    <w:rPr>
      <w:sz w:val="20"/>
      <w:szCs w:val="20"/>
    </w:rPr>
  </w:style>
  <w:style w:type="character" w:styleId="938">
    <w:name w:val="endnote reference"/>
    <w:basedOn w:val="900"/>
    <w:uiPriority w:val="99"/>
    <w:semiHidden/>
    <w:unhideWhenUsed/>
    <w:pPr>
      <w:pBdr/>
      <w:spacing/>
      <w:ind/>
    </w:pPr>
    <w:rPr>
      <w:vertAlign w:val="superscript"/>
    </w:rPr>
  </w:style>
  <w:style w:type="character" w:styleId="939">
    <w:name w:val="Hyperlink"/>
    <w:basedOn w:val="900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0">
    <w:name w:val="FollowedHyperlink"/>
    <w:basedOn w:val="900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1">
    <w:name w:val="toc 1"/>
    <w:basedOn w:val="952"/>
    <w:next w:val="952"/>
    <w:uiPriority w:val="39"/>
    <w:unhideWhenUsed/>
    <w:pPr>
      <w:pBdr/>
      <w:spacing w:after="100"/>
      <w:ind/>
    </w:pPr>
  </w:style>
  <w:style w:type="paragraph" w:styleId="942">
    <w:name w:val="toc 2"/>
    <w:basedOn w:val="952"/>
    <w:next w:val="952"/>
    <w:uiPriority w:val="39"/>
    <w:unhideWhenUsed/>
    <w:pPr>
      <w:pBdr/>
      <w:spacing w:after="100"/>
      <w:ind w:left="220"/>
    </w:pPr>
  </w:style>
  <w:style w:type="paragraph" w:styleId="943">
    <w:name w:val="toc 3"/>
    <w:basedOn w:val="952"/>
    <w:next w:val="952"/>
    <w:uiPriority w:val="39"/>
    <w:unhideWhenUsed/>
    <w:pPr>
      <w:pBdr/>
      <w:spacing w:after="100"/>
      <w:ind w:left="440"/>
    </w:pPr>
  </w:style>
  <w:style w:type="paragraph" w:styleId="944">
    <w:name w:val="toc 4"/>
    <w:basedOn w:val="952"/>
    <w:next w:val="952"/>
    <w:uiPriority w:val="39"/>
    <w:unhideWhenUsed/>
    <w:pPr>
      <w:pBdr/>
      <w:spacing w:after="100"/>
      <w:ind w:left="660"/>
    </w:pPr>
  </w:style>
  <w:style w:type="paragraph" w:styleId="945">
    <w:name w:val="toc 5"/>
    <w:basedOn w:val="952"/>
    <w:next w:val="952"/>
    <w:uiPriority w:val="39"/>
    <w:unhideWhenUsed/>
    <w:pPr>
      <w:pBdr/>
      <w:spacing w:after="100"/>
      <w:ind w:left="880"/>
    </w:pPr>
  </w:style>
  <w:style w:type="paragraph" w:styleId="946">
    <w:name w:val="toc 6"/>
    <w:basedOn w:val="952"/>
    <w:next w:val="952"/>
    <w:uiPriority w:val="39"/>
    <w:unhideWhenUsed/>
    <w:pPr>
      <w:pBdr/>
      <w:spacing w:after="100"/>
      <w:ind w:left="1100"/>
    </w:pPr>
  </w:style>
  <w:style w:type="paragraph" w:styleId="947">
    <w:name w:val="toc 7"/>
    <w:basedOn w:val="952"/>
    <w:next w:val="952"/>
    <w:uiPriority w:val="39"/>
    <w:unhideWhenUsed/>
    <w:pPr>
      <w:pBdr/>
      <w:spacing w:after="100"/>
      <w:ind w:left="1320"/>
    </w:pPr>
  </w:style>
  <w:style w:type="paragraph" w:styleId="948">
    <w:name w:val="toc 8"/>
    <w:basedOn w:val="952"/>
    <w:next w:val="952"/>
    <w:uiPriority w:val="39"/>
    <w:unhideWhenUsed/>
    <w:pPr>
      <w:pBdr/>
      <w:spacing w:after="100"/>
      <w:ind w:left="1540"/>
    </w:pPr>
  </w:style>
  <w:style w:type="paragraph" w:styleId="949">
    <w:name w:val="toc 9"/>
    <w:basedOn w:val="952"/>
    <w:next w:val="952"/>
    <w:uiPriority w:val="39"/>
    <w:unhideWhenUsed/>
    <w:pPr>
      <w:pBdr/>
      <w:spacing w:after="100"/>
      <w:ind w:left="1760"/>
    </w:pPr>
  </w:style>
  <w:style w:type="paragraph" w:styleId="950">
    <w:name w:val="TOC Heading"/>
    <w:uiPriority w:val="39"/>
    <w:unhideWhenUsed/>
    <w:pPr>
      <w:pBdr/>
      <w:spacing/>
      <w:ind/>
    </w:pPr>
  </w:style>
  <w:style w:type="paragraph" w:styleId="951">
    <w:name w:val="table of figures"/>
    <w:basedOn w:val="952"/>
    <w:next w:val="952"/>
    <w:uiPriority w:val="99"/>
    <w:unhideWhenUsed/>
    <w:pPr>
      <w:pBdr/>
      <w:spacing w:after="0" w:afterAutospacing="0"/>
      <w:ind/>
    </w:pPr>
  </w:style>
  <w:style w:type="paragraph" w:styleId="952" w:default="1">
    <w:name w:val="Normal"/>
    <w:next w:val="952"/>
    <w:link w:val="952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3">
    <w:name w:val="Основной шрифт абзаца"/>
    <w:next w:val="953"/>
    <w:link w:val="952"/>
    <w:uiPriority w:val="1"/>
    <w:unhideWhenUsed/>
    <w:pPr>
      <w:pBdr/>
      <w:spacing/>
      <w:ind/>
    </w:pPr>
  </w:style>
  <w:style w:type="table" w:styleId="954">
    <w:name w:val="Обычная таблица"/>
    <w:next w:val="954"/>
    <w:link w:val="952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5">
    <w:name w:val="Нет списка"/>
    <w:next w:val="955"/>
    <w:link w:val="952"/>
    <w:uiPriority w:val="99"/>
    <w:semiHidden/>
    <w:unhideWhenUsed/>
    <w:pPr>
      <w:pBdr/>
      <w:spacing/>
      <w:ind/>
    </w:pPr>
  </w:style>
  <w:style w:type="paragraph" w:styleId="956">
    <w:name w:val="Абзац списка"/>
    <w:basedOn w:val="952"/>
    <w:next w:val="956"/>
    <w:link w:val="952"/>
    <w:uiPriority w:val="34"/>
    <w:qFormat/>
    <w:pPr>
      <w:pBdr/>
      <w:spacing/>
      <w:ind w:left="720"/>
      <w:contextualSpacing w:val="true"/>
    </w:pPr>
  </w:style>
  <w:style w:type="table" w:styleId="957">
    <w:name w:val="Сетка таблицы"/>
    <w:basedOn w:val="954"/>
    <w:next w:val="957"/>
    <w:link w:val="952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58">
    <w:name w:val="ConsPlusNormal"/>
    <w:next w:val="958"/>
    <w:link w:val="952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59">
    <w:name w:val="Верхний колонтитул"/>
    <w:basedOn w:val="952"/>
    <w:next w:val="959"/>
    <w:link w:val="960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0">
    <w:name w:val="Верхний колонтитул Знак"/>
    <w:next w:val="960"/>
    <w:link w:val="959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1">
    <w:name w:val="Нижний колонтитул"/>
    <w:basedOn w:val="952"/>
    <w:next w:val="961"/>
    <w:link w:val="962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2">
    <w:name w:val="Нижний колонтитул Знак"/>
    <w:basedOn w:val="953"/>
    <w:next w:val="962"/>
    <w:link w:val="961"/>
    <w:uiPriority w:val="99"/>
    <w:pPr>
      <w:pBdr/>
      <w:spacing/>
      <w:ind/>
    </w:pPr>
  </w:style>
  <w:style w:type="paragraph" w:styleId="963">
    <w:name w:val="Текст выноски"/>
    <w:basedOn w:val="952"/>
    <w:next w:val="963"/>
    <w:link w:val="964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64">
    <w:name w:val="Текст выноски Знак"/>
    <w:next w:val="964"/>
    <w:link w:val="963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65">
    <w:name w:val="ConsPlusCell"/>
    <w:next w:val="965"/>
    <w:link w:val="952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66">
    <w:name w:val="ConsPlusNonformat"/>
    <w:next w:val="966"/>
    <w:link w:val="952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67">
    <w:name w:val="Гиперссылка"/>
    <w:next w:val="967"/>
    <w:link w:val="952"/>
    <w:uiPriority w:val="99"/>
    <w:unhideWhenUsed/>
    <w:pPr>
      <w:pBdr/>
      <w:spacing/>
      <w:ind/>
    </w:pPr>
    <w:rPr>
      <w:color w:val="0563c1"/>
      <w:u w:val="single"/>
    </w:rPr>
  </w:style>
  <w:style w:type="table" w:styleId="968">
    <w:name w:val="Сетка таблицы1"/>
    <w:basedOn w:val="954"/>
    <w:next w:val="957"/>
    <w:link w:val="952"/>
    <w:pPr>
      <w:pBdr/>
      <w:spacing/>
      <w:ind/>
    </w:pPr>
    <w:rPr>
      <w:rFonts w:ascii="Times New Roman" w:hAnsi="Times New Roman" w:eastAsia="Times New Roman"/>
    </w:r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69">
    <w:name w:val="Неразрешенное упоминание"/>
    <w:next w:val="969"/>
    <w:link w:val="952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970">
    <w:name w:val="Обычный (веб)"/>
    <w:basedOn w:val="952"/>
    <w:next w:val="970"/>
    <w:link w:val="952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112</cp:revision>
  <dcterms:created xsi:type="dcterms:W3CDTF">2023-07-21T08:39:00Z</dcterms:created>
  <dcterms:modified xsi:type="dcterms:W3CDTF">2026-06-04T13:03:17Z</dcterms:modified>
  <cp:version>1048576</cp:version>
</cp:coreProperties>
</file>