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right"/>
        <w:outlineLvl w:val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Проект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/>
        <w:jc w:val="right"/>
        <w:outlineLvl w:val="0"/>
        <w:rPr>
          <w:rFonts w:ascii="Times New Roman" w:hAnsi="Times New Roman" w:cs="Times New Roman"/>
          <w:sz w:val="16"/>
          <w:szCs w:val="16"/>
          <w:highlight w:val="none"/>
        </w:rPr>
      </w:pPr>
      <w:r>
        <w:rPr>
          <w:rFonts w:ascii="Times New Roman" w:hAnsi="Times New Roman" w:cs="Times New Roman"/>
          <w:sz w:val="16"/>
          <w:szCs w:val="16"/>
          <w:highlight w:val="none"/>
        </w:rPr>
      </w:r>
      <w:r>
        <w:rPr>
          <w:rFonts w:ascii="Times New Roman" w:hAnsi="Times New Roman" w:cs="Times New Roman"/>
          <w:sz w:val="16"/>
          <w:szCs w:val="16"/>
          <w:highlight w:val="none"/>
        </w:rPr>
      </w:r>
      <w:r>
        <w:rPr>
          <w:rFonts w:ascii="Times New Roman" w:hAnsi="Times New Roman" w:cs="Times New Roman"/>
          <w:sz w:val="16"/>
          <w:szCs w:val="16"/>
          <w:highlight w:val="none"/>
        </w:rPr>
      </w:r>
    </w:p>
    <w:p>
      <w:pPr>
        <w:pBdr/>
        <w:spacing w:after="0" w:line="240" w:lineRule="auto"/>
        <w:ind/>
        <w:jc w:val="center"/>
        <w:outlineLvl w:val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КАБИНЕТ МИНИСТРОВ РЕСПУБЛИКИ ТАТАРСТАН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16"/>
          <w:szCs w:val="16"/>
          <w:highlight w:val="none"/>
        </w:rPr>
      </w:pPr>
      <w:r>
        <w:rPr>
          <w:rFonts w:ascii="Times New Roman" w:hAnsi="Times New Roman" w:cs="Times New Roman"/>
          <w:sz w:val="16"/>
          <w:szCs w:val="16"/>
          <w:highlight w:val="none"/>
        </w:rPr>
      </w:r>
      <w:r>
        <w:rPr>
          <w:rFonts w:ascii="Times New Roman" w:hAnsi="Times New Roman" w:cs="Times New Roman"/>
          <w:sz w:val="16"/>
          <w:szCs w:val="16"/>
          <w:highlight w:val="none"/>
        </w:rPr>
      </w:r>
      <w:r>
        <w:rPr>
          <w:rFonts w:ascii="Times New Roman" w:hAnsi="Times New Roman" w:cs="Times New Roman"/>
          <w:sz w:val="16"/>
          <w:szCs w:val="16"/>
          <w:highlight w:val="none"/>
        </w:rPr>
      </w:r>
    </w:p>
    <w:p>
      <w:pPr>
        <w:pBdr/>
        <w:spacing w:after="0" w:line="240" w:lineRule="auto"/>
        <w:ind/>
        <w:jc w:val="center"/>
        <w:outlineLvl w:val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ПОСТАНОВЛЕНИЕ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16"/>
          <w:szCs w:val="16"/>
          <w:highlight w:val="none"/>
        </w:rPr>
      </w:pPr>
      <w:r>
        <w:rPr>
          <w:rFonts w:ascii="Times New Roman" w:hAnsi="Times New Roman" w:cs="Times New Roman"/>
          <w:sz w:val="16"/>
          <w:szCs w:val="16"/>
          <w:highlight w:val="none"/>
        </w:rPr>
      </w:r>
      <w:r>
        <w:rPr>
          <w:rFonts w:ascii="Times New Roman" w:hAnsi="Times New Roman" w:cs="Times New Roman"/>
          <w:sz w:val="16"/>
          <w:szCs w:val="16"/>
          <w:highlight w:val="none"/>
        </w:rPr>
      </w:r>
      <w:r>
        <w:rPr>
          <w:rFonts w:ascii="Times New Roman" w:hAnsi="Times New Roman" w:cs="Times New Roman"/>
          <w:sz w:val="16"/>
          <w:szCs w:val="16"/>
          <w:highlight w:val="none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«_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_» __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______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20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6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sz w:val="28"/>
          <w:szCs w:val="28"/>
          <w:highlight w:val="none"/>
        </w:rPr>
        <w:tab/>
        <w:t xml:space="preserve">№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_____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16"/>
          <w:szCs w:val="16"/>
          <w:highlight w:val="none"/>
        </w:rPr>
      </w:pPr>
      <w:r>
        <w:rPr>
          <w:rFonts w:ascii="Times New Roman" w:hAnsi="Times New Roman" w:cs="Times New Roman"/>
          <w:sz w:val="16"/>
          <w:szCs w:val="16"/>
          <w:highlight w:val="none"/>
        </w:rPr>
      </w:r>
      <w:r>
        <w:rPr>
          <w:rFonts w:ascii="Times New Roman" w:hAnsi="Times New Roman" w:cs="Times New Roman"/>
          <w:sz w:val="16"/>
          <w:szCs w:val="16"/>
          <w:highlight w:val="none"/>
        </w:rPr>
      </w:r>
      <w:r>
        <w:rPr>
          <w:rFonts w:ascii="Times New Roman" w:hAnsi="Times New Roman" w:cs="Times New Roman"/>
          <w:sz w:val="16"/>
          <w:szCs w:val="16"/>
          <w:highlight w:val="non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г. Казань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Bdr/>
        <w:tabs>
          <w:tab w:val="left" w:leader="none" w:pos="3686"/>
        </w:tabs>
        <w:spacing w:after="0" w:line="216" w:lineRule="auto"/>
        <w:ind w:right="566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highlight w:val="none"/>
        </w:rPr>
      </w:r>
      <w:bookmarkStart w:id="0" w:name="_Hlk536711710"/>
      <w:r>
        <w:rPr>
          <w:highlight w:val="none"/>
        </w:rPr>
      </w:r>
      <w:bookmarkStart w:id="1" w:name="_Hlk2867593"/>
      <w:r>
        <w:rPr>
          <w:rFonts w:ascii="Times New Roman" w:hAnsi="Times New Roman"/>
          <w:sz w:val="28"/>
          <w:szCs w:val="28"/>
          <w:highlight w:val="none"/>
        </w:rPr>
        <w:t xml:space="preserve">О </w:t>
      </w:r>
      <w:bookmarkStart w:id="2" w:name="_Hlk46844056"/>
      <w:r>
        <w:rPr>
          <w:rFonts w:ascii="Times New Roman" w:hAnsi="Times New Roman"/>
          <w:sz w:val="28"/>
          <w:szCs w:val="28"/>
          <w:highlight w:val="none"/>
        </w:rPr>
        <w:t xml:space="preserve">внесении изменени</w:t>
      </w:r>
      <w:r>
        <w:rPr>
          <w:rFonts w:ascii="Times New Roman" w:hAnsi="Times New Roman"/>
          <w:sz w:val="28"/>
          <w:szCs w:val="28"/>
          <w:highlight w:val="none"/>
        </w:rPr>
        <w:t xml:space="preserve">й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в </w:t>
      </w:r>
      <w:r>
        <w:rPr>
          <w:rFonts w:ascii="Times New Roman" w:hAnsi="Times New Roman"/>
          <w:sz w:val="28"/>
          <w:szCs w:val="28"/>
          <w:highlight w:val="none"/>
        </w:rPr>
        <w:t xml:space="preserve">Положени</w:t>
      </w:r>
      <w:r>
        <w:rPr>
          <w:rFonts w:ascii="Times New Roman" w:hAnsi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/>
          <w:sz w:val="28"/>
          <w:szCs w:val="28"/>
          <w:highlight w:val="none"/>
        </w:rPr>
        <w:t xml:space="preserve"> об условиях оплаты труда работников государственных </w:t>
      </w:r>
      <w:r>
        <w:rPr>
          <w:rFonts w:ascii="Times New Roman" w:hAnsi="Times New Roman"/>
          <w:sz w:val="28"/>
          <w:szCs w:val="28"/>
          <w:highlight w:val="none"/>
        </w:rPr>
        <w:t xml:space="preserve">организаций </w:t>
      </w:r>
      <w:r>
        <w:rPr>
          <w:rFonts w:ascii="Times New Roman" w:hAnsi="Times New Roman"/>
          <w:sz w:val="28"/>
          <w:szCs w:val="28"/>
          <w:highlight w:val="none"/>
        </w:rPr>
        <w:t xml:space="preserve">Республики Татарстан</w:t>
      </w:r>
      <w:r>
        <w:rPr>
          <w:rFonts w:ascii="Times New Roman" w:hAnsi="Times New Roman"/>
          <w:sz w:val="28"/>
          <w:szCs w:val="28"/>
          <w:highlight w:val="none"/>
        </w:rPr>
        <w:t xml:space="preserve">,</w:t>
      </w:r>
      <w:r>
        <w:rPr>
          <w:rFonts w:ascii="Times New Roman" w:hAnsi="Times New Roman"/>
          <w:sz w:val="28"/>
          <w:szCs w:val="28"/>
          <w:highlight w:val="none"/>
        </w:rPr>
        <w:t xml:space="preserve"> реализующих дополнительные образовательные программы спортивной подготовки, </w:t>
      </w:r>
      <w:r>
        <w:rPr>
          <w:rFonts w:ascii="Times New Roman" w:hAnsi="Times New Roman"/>
          <w:sz w:val="28"/>
          <w:szCs w:val="28"/>
          <w:highlight w:val="none"/>
        </w:rPr>
        <w:t xml:space="preserve">утвержденно</w:t>
      </w:r>
      <w:r>
        <w:rPr>
          <w:rFonts w:ascii="Times New Roman" w:hAnsi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постановление</w:t>
      </w:r>
      <w:r>
        <w:rPr>
          <w:rFonts w:ascii="Times New Roman" w:hAnsi="Times New Roman"/>
          <w:sz w:val="28"/>
          <w:szCs w:val="28"/>
          <w:highlight w:val="none"/>
        </w:rPr>
        <w:t xml:space="preserve">м</w:t>
      </w:r>
      <w:r>
        <w:rPr>
          <w:rFonts w:ascii="Times New Roman" w:hAnsi="Times New Roman"/>
          <w:sz w:val="28"/>
          <w:szCs w:val="28"/>
          <w:highlight w:val="none"/>
        </w:rPr>
        <w:t xml:space="preserve"> Кабинета Министров Республики Татарстан от 25.09.2018 № 853 «</w:t>
      </w:r>
      <w:r>
        <w:rPr>
          <w:rFonts w:ascii="Times New Roman" w:hAnsi="Times New Roman"/>
          <w:sz w:val="28"/>
          <w:szCs w:val="28"/>
          <w:highlight w:val="none"/>
        </w:rPr>
        <w:t xml:space="preserve">Об условиях оплаты труда работников государственных организаций, реализующих дополнительные образовательные программы спортивной подготовки Республики Татарстан, и государственных центров спортивной подготовки Республики Татарстан</w:t>
      </w:r>
      <w:r>
        <w:rPr>
          <w:rFonts w:ascii="Times New Roman" w:hAnsi="Times New Roman"/>
          <w:sz w:val="28"/>
          <w:szCs w:val="28"/>
          <w:highlight w:val="none"/>
        </w:rPr>
        <w:t xml:space="preserve">»</w:t>
      </w:r>
      <w:bookmarkEnd w:id="0"/>
      <w:r>
        <w:rPr>
          <w:highlight w:val="none"/>
        </w:rPr>
      </w:r>
      <w:bookmarkEnd w:id="2"/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216" w:lineRule="auto"/>
        <w:ind w:right="6095"/>
        <w:jc w:val="both"/>
        <w:rPr>
          <w:rFonts w:ascii="Times New Roman" w:hAnsi="Times New Roman"/>
          <w:sz w:val="16"/>
          <w:szCs w:val="16"/>
          <w:highlight w:val="none"/>
        </w:rPr>
      </w:pPr>
      <w:r>
        <w:rPr>
          <w:rFonts w:ascii="Times New Roman" w:hAnsi="Times New Roman"/>
          <w:sz w:val="16"/>
          <w:szCs w:val="16"/>
          <w:highlight w:val="none"/>
        </w:rPr>
      </w:r>
      <w:bookmarkEnd w:id="1"/>
      <w:r>
        <w:rPr>
          <w:rFonts w:ascii="Times New Roman" w:hAnsi="Times New Roman"/>
          <w:sz w:val="16"/>
          <w:szCs w:val="16"/>
          <w:highlight w:val="none"/>
        </w:rPr>
      </w:r>
      <w:r>
        <w:rPr>
          <w:rFonts w:ascii="Times New Roman" w:hAnsi="Times New Roman"/>
          <w:sz w:val="16"/>
          <w:szCs w:val="16"/>
          <w:highlight w:val="none"/>
        </w:rPr>
      </w:r>
    </w:p>
    <w:p>
      <w:pPr>
        <w:pBdr/>
        <w:spacing w:after="0" w:line="240" w:lineRule="auto"/>
        <w:ind w:right="4252"/>
        <w:jc w:val="both"/>
        <w:rPr>
          <w:rFonts w:ascii="Times New Roman" w:hAnsi="Times New Roman"/>
          <w:sz w:val="16"/>
          <w:szCs w:val="16"/>
          <w:highlight w:val="none"/>
        </w:rPr>
      </w:pPr>
      <w:r>
        <w:rPr>
          <w:rFonts w:ascii="Times New Roman" w:hAnsi="Times New Roman"/>
          <w:sz w:val="16"/>
          <w:szCs w:val="16"/>
          <w:highlight w:val="none"/>
        </w:rPr>
      </w:r>
      <w:r>
        <w:rPr>
          <w:rFonts w:ascii="Times New Roman" w:hAnsi="Times New Roman"/>
          <w:sz w:val="16"/>
          <w:szCs w:val="16"/>
          <w:highlight w:val="none"/>
        </w:rPr>
      </w:r>
      <w:r>
        <w:rPr>
          <w:rFonts w:ascii="Times New Roman" w:hAnsi="Times New Roman"/>
          <w:sz w:val="16"/>
          <w:szCs w:val="16"/>
          <w:highlight w:val="none"/>
        </w:rPr>
      </w:r>
    </w:p>
    <w:p>
      <w:pPr>
        <w:pBdr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Кабинет Министров Республики Татарстан ПОСТАНОВЛЯЕТ: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pStyle w:val="1008"/>
        <w:pBdr/>
        <w:spacing/>
        <w:ind w:firstLine="851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нести в </w:t>
      </w:r>
      <w:r>
        <w:rPr>
          <w:rFonts w:ascii="Times New Roman" w:hAnsi="Times New Roman"/>
          <w:sz w:val="28"/>
          <w:szCs w:val="28"/>
          <w:highlight w:val="none"/>
        </w:rPr>
        <w:t xml:space="preserve">Положени</w:t>
      </w:r>
      <w:r>
        <w:rPr>
          <w:rFonts w:ascii="Times New Roman" w:hAnsi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/>
          <w:sz w:val="28"/>
          <w:szCs w:val="28"/>
          <w:highlight w:val="none"/>
        </w:rPr>
        <w:t xml:space="preserve"> об условиях оплаты труда работников государственных </w:t>
      </w:r>
      <w:r>
        <w:rPr>
          <w:rFonts w:ascii="Times New Roman" w:hAnsi="Times New Roman"/>
          <w:sz w:val="28"/>
          <w:szCs w:val="28"/>
          <w:highlight w:val="none"/>
        </w:rPr>
        <w:t xml:space="preserve">организаций </w:t>
      </w:r>
      <w:r>
        <w:rPr>
          <w:rFonts w:ascii="Times New Roman" w:hAnsi="Times New Roman"/>
          <w:sz w:val="28"/>
          <w:szCs w:val="28"/>
          <w:highlight w:val="none"/>
        </w:rPr>
        <w:t xml:space="preserve">Республики Татарстан,</w:t>
      </w:r>
      <w:r>
        <w:rPr>
          <w:rFonts w:ascii="Times New Roman" w:hAnsi="Times New Roman"/>
          <w:sz w:val="28"/>
          <w:szCs w:val="28"/>
          <w:highlight w:val="none"/>
        </w:rPr>
        <w:t xml:space="preserve"> реализующих дополнительные образовательные программы спортивной подготовки, </w:t>
      </w:r>
      <w:r>
        <w:rPr>
          <w:rFonts w:ascii="Times New Roman" w:hAnsi="Times New Roman"/>
          <w:sz w:val="28"/>
          <w:szCs w:val="28"/>
          <w:highlight w:val="none"/>
        </w:rPr>
        <w:t xml:space="preserve">утвержденно</w:t>
      </w:r>
      <w:r>
        <w:rPr>
          <w:rFonts w:ascii="Times New Roman" w:hAnsi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постановление</w:t>
      </w:r>
      <w:r>
        <w:rPr>
          <w:rFonts w:ascii="Times New Roman" w:hAnsi="Times New Roman"/>
          <w:sz w:val="28"/>
          <w:szCs w:val="28"/>
          <w:highlight w:val="none"/>
        </w:rPr>
        <w:t xml:space="preserve">м</w:t>
      </w:r>
      <w:r>
        <w:rPr>
          <w:rFonts w:ascii="Times New Roman" w:hAnsi="Times New Roman"/>
          <w:sz w:val="28"/>
          <w:szCs w:val="28"/>
          <w:highlight w:val="none"/>
        </w:rPr>
        <w:t xml:space="preserve"> 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от 25.09.2018 № 853 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 условиях оплаты труда работников государственных организаций, реализующих дополнительные образовательные программы спортивной подготовки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Республики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Татарстан, и государственных центров спортивной подготовки Республики Татарстан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(с изменениями, внесенными постановлениями Кабинета Министров Республики Татарстан от 06.05.2019 №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 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380, от 16.04.2020 № 294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от 01.09.2020 № 768, от 03.11.2020 № 989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от 21.07.2021 № 633, от 26.07.2021 № 645, от 30.10.2021 № 1030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от 26.05.2022 № 489, от 20.06.2022 № 587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от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 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14.09.2022 № 1002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от 30.11.2022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№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1268,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от 17.07.2023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№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846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от 03.0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4.2024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№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215, от 26.04.2024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№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283,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от 21.06.2024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№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447, от 12.09.2024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№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766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от 18.04.2025 № 245, от 30.06.2025 № 478, от 17.09.2025 № 708)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следующи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 изменения: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 w14:paraId="1F8B34A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в таблице 1: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 w14:paraId="6C22213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в головке таблицы словосочетание «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5-й год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» заменить словосочетанием «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5-й год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 и более»;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 w14:paraId="3D0D221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в графе 10 пункта 9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 цифры «0,0» заменить цифрами «11,1»;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 w14:paraId="56EE693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в графе 10 пункта 28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 цифры «0,0» заменить цифрами «10,0»;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 w14:paraId="48A9396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в графе 9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 и 10 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пункта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 31 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 цифры «0,0»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 и «0,0» заменить цифрами 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«8,3»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 и 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«8,3»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 соответственно;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 w14:paraId="10E9735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в графе 10 пункта 47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 цифры «0,0» заменить цифрами «18,5»;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 w14:paraId="6C975E2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в графе 9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 и 10 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пункта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 59 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 цифры «0,0»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 и «0,0» заменить цифрами 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«14,8»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 и 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«14,8»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 соответственно;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 w14:paraId="00B20B9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в графе 10 пункта 77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 цифры «0,0» заменить цифрами «10,0»;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 w14:paraId="46A1822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в графе 10 пункта 79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 цифры «0,0» заменить цифрами «10,0»;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 w14:paraId="241830D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в графе 10 пункта 83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 цифру «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0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» заменить цифрами «10,0»;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 w14:paraId="2D2AA24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в графе 10 пункта 86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 знак «-» заменить цифрами «10,0»;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 w14:paraId="66559ED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добавить пункты 90-91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содержания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: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tbl>
      <w:tblPr>
        <w:tblStyle w:val="999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655"/>
        <w:gridCol w:w="935"/>
        <w:gridCol w:w="749"/>
        <w:gridCol w:w="749"/>
        <w:gridCol w:w="749"/>
        <w:gridCol w:w="749"/>
        <w:gridCol w:w="749"/>
        <w:gridCol w:w="749"/>
        <w:gridCol w:w="787"/>
        <w:gridCol w:w="787"/>
        <w:gridCol w:w="845"/>
      </w:tblGrid>
      <w:tr>
        <w:trPr>
          <w:trHeight w:val="2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«90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lef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 Нарды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5" w:type="dxa"/>
            <w:vAlign w:val="center"/>
            <w:textDirection w:val="lrTb"/>
            <w:noWrap w:val="false"/>
          </w:tcPr>
          <w:p w14:paraId="0D8297B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35" w:type="dxa"/>
            <w:vAlign w:val="center"/>
            <w:textDirection w:val="lrTb"/>
            <w:noWrap w:val="false"/>
          </w:tcPr>
          <w:p w14:paraId="731FD793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9" w:type="dxa"/>
            <w:vAlign w:val="center"/>
            <w:textDirection w:val="lrTb"/>
            <w:noWrap w:val="false"/>
          </w:tcPr>
          <w:p w14:paraId="31BCA29E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9" w:type="dxa"/>
            <w:vAlign w:val="center"/>
            <w:textDirection w:val="lrTb"/>
            <w:noWrap w:val="false"/>
          </w:tcPr>
          <w:p w14:paraId="4A096D11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9" w:type="dxa"/>
            <w:vAlign w:val="center"/>
            <w:textDirection w:val="lrTb"/>
            <w:noWrap w:val="false"/>
          </w:tcPr>
          <w:p w14:paraId="20A2A2B6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9" w:type="dxa"/>
            <w:vAlign w:val="center"/>
            <w:textDirection w:val="lrTb"/>
            <w:noWrap w:val="false"/>
          </w:tcPr>
          <w:p w14:paraId="314CF1B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9" w:type="dxa"/>
            <w:vAlign w:val="center"/>
            <w:textDirection w:val="lrTb"/>
            <w:noWrap w:val="false"/>
          </w:tcPr>
          <w:p w14:paraId="6A00A8F7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9" w:type="dxa"/>
            <w:vAlign w:val="center"/>
            <w:textDirection w:val="lrTb"/>
            <w:noWrap w:val="false"/>
          </w:tcPr>
          <w:p w14:paraId="1B50E680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7" w:type="dxa"/>
            <w:vAlign w:val="center"/>
            <w:textDirection w:val="lrTb"/>
            <w:noWrap w:val="false"/>
          </w:tcPr>
          <w:p w14:paraId="685F7532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44,4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7" w:type="dxa"/>
            <w:vAlign w:val="center"/>
            <w:textDirection w:val="lrTb"/>
            <w:noWrap w:val="false"/>
          </w:tcPr>
          <w:p w14:paraId="14B31ECF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5" w:type="dxa"/>
            <w:vAlign w:val="center"/>
            <w:textDirection w:val="lrTb"/>
            <w:noWrap w:val="false"/>
          </w:tcPr>
          <w:p w14:paraId="1AD02ACC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 w14:paraId="715596C2"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91.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vMerge w:val="restart"/>
            <w:textDirection w:val="lrTb"/>
            <w:noWrap w:val="false"/>
          </w:tcPr>
          <w:p w14:paraId="0CDD151A">
            <w:pPr>
              <w:pBdr/>
              <w:spacing/>
              <w:ind w:right="0" w:firstLine="0" w:left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 Чир спорт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5" w:type="dxa"/>
            <w:vAlign w:val="center"/>
            <w:vMerge w:val="restart"/>
            <w:textDirection w:val="lrTb"/>
            <w:noWrap w:val="false"/>
          </w:tcPr>
          <w:p w14:paraId="07F359F5"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1,9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35" w:type="dxa"/>
            <w:vAlign w:val="center"/>
            <w:vMerge w:val="restart"/>
            <w:textDirection w:val="lrTb"/>
            <w:noWrap w:val="false"/>
          </w:tcPr>
          <w:p w14:paraId="1D6C6312"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2,8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9" w:type="dxa"/>
            <w:vAlign w:val="center"/>
            <w:vMerge w:val="restart"/>
            <w:textDirection w:val="lrTb"/>
            <w:noWrap w:val="false"/>
          </w:tcPr>
          <w:p w14:paraId="15A0C11E"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3,7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9" w:type="dxa"/>
            <w:vAlign w:val="center"/>
            <w:vMerge w:val="restart"/>
            <w:textDirection w:val="lrTb"/>
            <w:noWrap w:val="false"/>
          </w:tcPr>
          <w:p w14:paraId="0D17C80B"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6,9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9" w:type="dxa"/>
            <w:vAlign w:val="center"/>
            <w:vMerge w:val="restart"/>
            <w:textDirection w:val="lrTb"/>
            <w:noWrap w:val="false"/>
          </w:tcPr>
          <w:p w14:paraId="75E57FDA"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8,3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9" w:type="dxa"/>
            <w:vAlign w:val="center"/>
            <w:vMerge w:val="restart"/>
            <w:textDirection w:val="lrTb"/>
            <w:noWrap w:val="false"/>
          </w:tcPr>
          <w:p w14:paraId="13C855D6"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9,7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9" w:type="dxa"/>
            <w:vAlign w:val="center"/>
            <w:vMerge w:val="restart"/>
            <w:textDirection w:val="lrTb"/>
            <w:noWrap w:val="false"/>
          </w:tcPr>
          <w:p w14:paraId="0B9D38DB"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11,1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9" w:type="dxa"/>
            <w:vAlign w:val="center"/>
            <w:vMerge w:val="restart"/>
            <w:textDirection w:val="lrTb"/>
            <w:noWrap w:val="false"/>
          </w:tcPr>
          <w:p w14:paraId="785C70C0"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12,5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7" w:type="dxa"/>
            <w:vAlign w:val="center"/>
            <w:vMerge w:val="restart"/>
            <w:textDirection w:val="lrTb"/>
            <w:noWrap w:val="false"/>
          </w:tcPr>
          <w:p w14:paraId="22C2FEA2"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27,8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7" w:type="dxa"/>
            <w:vAlign w:val="center"/>
            <w:vMerge w:val="restart"/>
            <w:textDirection w:val="lrTb"/>
            <w:noWrap w:val="false"/>
          </w:tcPr>
          <w:p w14:paraId="4D81E32E"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33,3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5" w:type="dxa"/>
            <w:vAlign w:val="center"/>
            <w:vMerge w:val="restart"/>
            <w:textDirection w:val="lrTb"/>
            <w:noWrap w:val="false"/>
          </w:tcPr>
          <w:p w14:paraId="2D53DE84"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77,8»;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</w:tbl>
    <w:p w14:paraId="18AD176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в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таблице 2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: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 w14:paraId="64B66D6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в головке таблицы словосочетание «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5-й год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» заменить словосочетанием «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5-й год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 и более»;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 w14:paraId="13E8DA8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в графе 10 пункта 9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 цифру «0» заменить цифрами «16»;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 w14:paraId="014DF76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в графе 10 пункта 28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 цифру «0» заменить цифрами «18»;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 w14:paraId="31B74DB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в графе 9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 и 10 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пункта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 31 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 цифры «0»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 и «0» заменить цифрами 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«18»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 и 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«18»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 соответственно;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 w14:paraId="21C78FC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в графе 10 пункта 47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 цифру «0» заменить цифрами «20»;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 w14:paraId="073DCD2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в графе 9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 и 10 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пункта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 59 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 цифры «0»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 и «0» заменить цифрами 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«16»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 и 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«16»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 соответственно;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 w14:paraId="02384E4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в графе 10 пункта 77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 цифру «0» заменить цифрами «18»;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 w14:paraId="66E9E9C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в графе 10 пункта 79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 цифру «0» заменить цифрами «18»;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 w14:paraId="0E5968D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в графе 10 пункта 83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 цифру «0» заменить цифрами «18»;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 w14:paraId="6581571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в графе 10 пункта 86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 знак «-» заменить цифрами «18»;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 w14:paraId="58226D7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 w14:paraId="5FD23CA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добавить </w:t>
      </w:r>
      <w:hyperlink r:id="rId14" w:tooltip="https://login.consultant.ru/link/?req=doc&amp;base=RLAW363&amp;n=137254&amp;dst=103628&amp;field=134&amp;date=28.02.2025" w:history="1">
        <w:r>
          <w:rPr>
            <w:rFonts w:ascii="Times New Roman" w:hAnsi="Times New Roman"/>
            <w:sz w:val="28"/>
            <w:szCs w:val="28"/>
            <w:highlight w:val="none"/>
            <w:lang w:eastAsia="ru-RU"/>
          </w:rPr>
          <w:t xml:space="preserve">пункты 90-91</w:t>
        </w:r>
      </w:hyperlink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следующего содержания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: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 w14:paraId="6D25D4B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center"/>
        <w:rPr>
          <w:rFonts w:ascii="undefined" w:hAnsi="undefined" w:cs="undefined"/>
          <w:b w:val="0"/>
          <w:bCs w:val="0"/>
          <w:i w:val="0"/>
          <w:strike w:val="0"/>
          <w:color w:val="000000"/>
          <w:sz w:val="22"/>
          <w:szCs w:val="22"/>
          <w:u w:val="none"/>
          <w14:ligatures w14:val="none"/>
        </w:rPr>
      </w:pPr>
      <w:r>
        <w:rPr>
          <w:rFonts w:ascii="undefined" w:hAnsi="undefined" w:eastAsia="undefined" w:cs="undefined"/>
          <w:b w:val="0"/>
          <w:bCs w:val="0"/>
          <w:i w:val="0"/>
          <w:iCs w:val="0"/>
          <w:strike w:val="0"/>
          <w:color w:val="000000"/>
          <w:sz w:val="22"/>
          <w:szCs w:val="22"/>
          <w:u w:val="none"/>
          <w:lang w:eastAsia="ru-RU"/>
        </w:rPr>
      </w:r>
      <w:r>
        <w:rPr>
          <w:rFonts w:ascii="undefined" w:hAnsi="undefined" w:cs="undefined"/>
          <w:b w:val="0"/>
          <w:bCs w:val="0"/>
          <w:i w:val="0"/>
          <w:strike w:val="0"/>
          <w:color w:val="000000"/>
          <w:sz w:val="22"/>
          <w:szCs w:val="22"/>
          <w:u w:val="none"/>
          <w14:ligatures w14:val="none"/>
        </w:rPr>
      </w:r>
      <w:r>
        <w:rPr>
          <w:rFonts w:ascii="undefined" w:hAnsi="undefined" w:cs="undefined"/>
          <w:b w:val="0"/>
          <w:bCs w:val="0"/>
          <w:i w:val="0"/>
          <w:strike w:val="0"/>
          <w:color w:val="000000"/>
          <w:sz w:val="22"/>
          <w:szCs w:val="22"/>
          <w:u w:val="none"/>
          <w14:ligatures w14:val="none"/>
        </w:rPr>
      </w:r>
    </w:p>
    <w:tbl>
      <w:tblPr>
        <w:tblStyle w:val="999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567"/>
        <w:gridCol w:w="1040"/>
        <w:gridCol w:w="749"/>
        <w:gridCol w:w="935"/>
        <w:gridCol w:w="749"/>
        <w:gridCol w:w="749"/>
        <w:gridCol w:w="749"/>
        <w:gridCol w:w="749"/>
        <w:gridCol w:w="749"/>
        <w:gridCol w:w="749"/>
        <w:gridCol w:w="787"/>
        <w:gridCol w:w="787"/>
        <w:gridCol w:w="845"/>
      </w:tblGrid>
      <w:tr>
        <w:trPr>
          <w:trHeight w:val="2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 w14:paraId="02521D00"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«90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 w14:paraId="25C35115"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Нарды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9" w:type="dxa"/>
            <w:vAlign w:val="center"/>
            <w:textDirection w:val="lrTb"/>
            <w:noWrap w:val="false"/>
          </w:tcPr>
          <w:p w14:paraId="6C72F8C4"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35" w:type="dxa"/>
            <w:vAlign w:val="center"/>
            <w:textDirection w:val="lrTb"/>
            <w:noWrap w:val="false"/>
          </w:tcPr>
          <w:p w14:paraId="408CD26C"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9" w:type="dxa"/>
            <w:vAlign w:val="center"/>
            <w:textDirection w:val="lrTb"/>
            <w:noWrap w:val="false"/>
          </w:tcPr>
          <w:p w14:paraId="6AEE2F8C"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9" w:type="dxa"/>
            <w:vAlign w:val="center"/>
            <w:textDirection w:val="lrTb"/>
            <w:noWrap w:val="false"/>
          </w:tcPr>
          <w:p w14:paraId="6798779B"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9" w:type="dxa"/>
            <w:vAlign w:val="center"/>
            <w:textDirection w:val="lrTb"/>
            <w:noWrap w:val="false"/>
          </w:tcPr>
          <w:p w14:paraId="105EB13A"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9" w:type="dxa"/>
            <w:vAlign w:val="center"/>
            <w:textDirection w:val="lrTb"/>
            <w:noWrap w:val="false"/>
          </w:tcPr>
          <w:p w14:paraId="652F0225"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9" w:type="dxa"/>
            <w:vAlign w:val="center"/>
            <w:textDirection w:val="lrTb"/>
            <w:noWrap w:val="false"/>
          </w:tcPr>
          <w:p w14:paraId="3FA65E95"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9" w:type="dxa"/>
            <w:vAlign w:val="center"/>
            <w:textDirection w:val="lrTb"/>
            <w:noWrap w:val="false"/>
          </w:tcPr>
          <w:p w14:paraId="0BAC6CA2"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7" w:type="dxa"/>
            <w:vAlign w:val="center"/>
            <w:textDirection w:val="lrTb"/>
            <w:noWrap w:val="false"/>
          </w:tcPr>
          <w:p w14:paraId="5801ABD8"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7" w:type="dxa"/>
            <w:vAlign w:val="center"/>
            <w:textDirection w:val="lrTb"/>
            <w:noWrap w:val="false"/>
          </w:tcPr>
          <w:p w14:paraId="2A9DEBF2"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5" w:type="dxa"/>
            <w:vAlign w:val="center"/>
            <w:textDirection w:val="lrTb"/>
            <w:noWrap w:val="false"/>
          </w:tcPr>
          <w:p w14:paraId="6737992B"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24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</w:p>
        </w:tc>
      </w:tr>
      <w:tr>
        <w:trPr>
          <w:trHeight w:val="2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 w14:paraId="4D12C4F3"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91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vMerge w:val="restart"/>
            <w:textDirection w:val="lrTb"/>
            <w:noWrap w:val="false"/>
          </w:tcPr>
          <w:p w14:paraId="5A173C1E"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Чир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спорт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9" w:type="dxa"/>
            <w:vAlign w:val="center"/>
            <w:vMerge w:val="restart"/>
            <w:textDirection w:val="lrTb"/>
            <w:noWrap w:val="false"/>
          </w:tcPr>
          <w:p w14:paraId="38096F6C"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35" w:type="dxa"/>
            <w:vAlign w:val="center"/>
            <w:vMerge w:val="restart"/>
            <w:textDirection w:val="lrTb"/>
            <w:noWrap w:val="false"/>
          </w:tcPr>
          <w:p w14:paraId="42F793F3"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9" w:type="dxa"/>
            <w:vAlign w:val="center"/>
            <w:vMerge w:val="restart"/>
            <w:textDirection w:val="lrTb"/>
            <w:noWrap w:val="false"/>
          </w:tcPr>
          <w:p w14:paraId="5963D647"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9" w:type="dxa"/>
            <w:vAlign w:val="center"/>
            <w:vMerge w:val="restart"/>
            <w:textDirection w:val="lrTb"/>
            <w:noWrap w:val="false"/>
          </w:tcPr>
          <w:p w14:paraId="0905D025"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9" w:type="dxa"/>
            <w:vAlign w:val="center"/>
            <w:vMerge w:val="restart"/>
            <w:textDirection w:val="lrTb"/>
            <w:noWrap w:val="false"/>
          </w:tcPr>
          <w:p w14:paraId="6B784776"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9" w:type="dxa"/>
            <w:vAlign w:val="center"/>
            <w:vMerge w:val="restart"/>
            <w:textDirection w:val="lrTb"/>
            <w:noWrap w:val="false"/>
          </w:tcPr>
          <w:p w14:paraId="6CBA021D"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9" w:type="dxa"/>
            <w:vAlign w:val="center"/>
            <w:vMerge w:val="restart"/>
            <w:textDirection w:val="lrTb"/>
            <w:noWrap w:val="false"/>
          </w:tcPr>
          <w:p w14:paraId="7AEAE7FA"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9" w:type="dxa"/>
            <w:vAlign w:val="center"/>
            <w:vMerge w:val="restart"/>
            <w:textDirection w:val="lrTb"/>
            <w:noWrap w:val="false"/>
          </w:tcPr>
          <w:p w14:paraId="37AE4343"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7" w:type="dxa"/>
            <w:vAlign w:val="center"/>
            <w:vMerge w:val="restart"/>
            <w:textDirection w:val="lrTb"/>
            <w:noWrap w:val="false"/>
          </w:tcPr>
          <w:p w14:paraId="5E288326"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7" w:type="dxa"/>
            <w:vAlign w:val="center"/>
            <w:vMerge w:val="restart"/>
            <w:textDirection w:val="lrTb"/>
            <w:noWrap w:val="false"/>
          </w:tcPr>
          <w:p w14:paraId="7CAFAC2A"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24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5" w:type="dxa"/>
            <w:vAlign w:val="center"/>
            <w:vMerge w:val="restart"/>
            <w:textDirection w:val="lrTb"/>
            <w:noWrap w:val="false"/>
          </w:tcPr>
          <w:p w14:paraId="1A5DCE71"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</w:p>
        </w:tc>
      </w:tr>
    </w:tbl>
    <w:p w14:paraId="66434A5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 w14:paraId="2A68C0C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в таблице 3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: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 w14:paraId="64B66D6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в головке таблицы словосочетание «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5-й год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» заменить словосочетанием «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5-й год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 и более»;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 w14:paraId="21D763D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в графе 10 пункта 9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 цифру «0» заменить цифрой «8»;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 w14:paraId="5485C2A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в графе 10 пункта 28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 цифру «0» заменить цифрами «10»;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 w14:paraId="0CC597F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в графе 9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 и 10 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пункта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 31 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 цифры «0»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 и «0» заменить цифрами 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«12»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 и 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«12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» соответственно;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 w14:paraId="66AF4C7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в графе 10 пункта 47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 цифру «0» заменить цифрами «6»;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 w14:paraId="27ADD69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в графе 9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 и 10 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пункта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 59 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 цифры «0»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 и «0» заменить цифрами 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«6»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 и 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«6»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 соответственно;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 w14:paraId="5F6BDE3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в графе 10 пункта 77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 цифру «0» заменить цифрами «10»;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 w14:paraId="3488AF9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в графе 10 пункта 79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 цифру «0» заменить цифрами «10»;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 w14:paraId="3B6AF0A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в графе 10 пункта 83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 цифру «0» заменить цифрами «10»;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 w14:paraId="74A1D8F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в графе 10 пункта 86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 знак «-» заменить цифрами «10»;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 w14:paraId="2706BCD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 w14:paraId="5FD23CA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добавить </w:t>
      </w:r>
      <w:hyperlink r:id="rId15" w:tooltip="https://login.consultant.ru/link/?req=doc&amp;base=RLAW363&amp;n=137254&amp;dst=103628&amp;field=134&amp;date=28.02.2025" w:history="1">
        <w:r>
          <w:rPr>
            <w:rFonts w:ascii="Times New Roman" w:hAnsi="Times New Roman"/>
            <w:sz w:val="28"/>
            <w:szCs w:val="28"/>
            <w:highlight w:val="none"/>
            <w:lang w:eastAsia="ru-RU"/>
          </w:rPr>
          <w:t xml:space="preserve">пункты 90-91</w:t>
        </w:r>
      </w:hyperlink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следующего содержания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: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 w14:paraId="6D25D4B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tbl>
      <w:tblPr>
        <w:tblStyle w:val="999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567"/>
        <w:gridCol w:w="1040"/>
        <w:gridCol w:w="749"/>
        <w:gridCol w:w="935"/>
        <w:gridCol w:w="749"/>
        <w:gridCol w:w="749"/>
        <w:gridCol w:w="749"/>
        <w:gridCol w:w="749"/>
        <w:gridCol w:w="749"/>
        <w:gridCol w:w="749"/>
        <w:gridCol w:w="787"/>
        <w:gridCol w:w="787"/>
        <w:gridCol w:w="845"/>
      </w:tblGrid>
      <w:tr>
        <w:trPr>
          <w:trHeight w:val="2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 w14:paraId="02521D00"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«90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 w14:paraId="25C35115"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Нарды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9" w:type="dxa"/>
            <w:vAlign w:val="center"/>
            <w:textDirection w:val="lrTb"/>
            <w:noWrap w:val="false"/>
          </w:tcPr>
          <w:p w14:paraId="7D590F61"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35" w:type="dxa"/>
            <w:vAlign w:val="center"/>
            <w:textDirection w:val="lrTb"/>
            <w:noWrap w:val="false"/>
          </w:tcPr>
          <w:p w14:paraId="04A3D93D"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9" w:type="dxa"/>
            <w:vAlign w:val="center"/>
            <w:textDirection w:val="lrTb"/>
            <w:noWrap w:val="false"/>
          </w:tcPr>
          <w:p w14:paraId="3B826084"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9" w:type="dxa"/>
            <w:vAlign w:val="center"/>
            <w:textDirection w:val="lrTb"/>
            <w:noWrap w:val="false"/>
          </w:tcPr>
          <w:p w14:paraId="7231EB9A"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9" w:type="dxa"/>
            <w:vAlign w:val="center"/>
            <w:textDirection w:val="lrTb"/>
            <w:noWrap w:val="false"/>
          </w:tcPr>
          <w:p w14:paraId="3451ABFB"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9" w:type="dxa"/>
            <w:vAlign w:val="center"/>
            <w:textDirection w:val="lrTb"/>
            <w:noWrap w:val="false"/>
          </w:tcPr>
          <w:p w14:paraId="151D08A6"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9" w:type="dxa"/>
            <w:vAlign w:val="center"/>
            <w:textDirection w:val="lrTb"/>
            <w:noWrap w:val="false"/>
          </w:tcPr>
          <w:p w14:paraId="79178AB0"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9" w:type="dxa"/>
            <w:vAlign w:val="center"/>
            <w:textDirection w:val="lrTb"/>
            <w:noWrap w:val="false"/>
          </w:tcPr>
          <w:p w14:paraId="3194DCBB"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7" w:type="dxa"/>
            <w:vAlign w:val="center"/>
            <w:textDirection w:val="lrTb"/>
            <w:noWrap w:val="false"/>
          </w:tcPr>
          <w:p w14:paraId="12A1A9B4"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7" w:type="dxa"/>
            <w:vAlign w:val="center"/>
            <w:textDirection w:val="lrTb"/>
            <w:noWrap w:val="false"/>
          </w:tcPr>
          <w:p w14:paraId="6E96069B"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5" w:type="dxa"/>
            <w:vAlign w:val="center"/>
            <w:textDirection w:val="lrTb"/>
            <w:noWrap w:val="false"/>
          </w:tcPr>
          <w:p w14:paraId="13E323DF"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</w:p>
        </w:tc>
      </w:tr>
      <w:tr>
        <w:trPr>
          <w:trHeight w:val="2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 w14:paraId="4D12C4F3"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91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vMerge w:val="restart"/>
            <w:textDirection w:val="lrTb"/>
            <w:noWrap w:val="false"/>
          </w:tcPr>
          <w:p w14:paraId="5A173C1E"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Чир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спорт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9" w:type="dxa"/>
            <w:vAlign w:val="center"/>
            <w:vMerge w:val="restart"/>
            <w:textDirection w:val="lrTb"/>
            <w:noWrap w:val="false"/>
          </w:tcPr>
          <w:p w14:paraId="399A30B2"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35" w:type="dxa"/>
            <w:vAlign w:val="center"/>
            <w:vMerge w:val="restart"/>
            <w:textDirection w:val="lrTb"/>
            <w:noWrap w:val="false"/>
          </w:tcPr>
          <w:p w14:paraId="515E748B"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9" w:type="dxa"/>
            <w:vAlign w:val="center"/>
            <w:vMerge w:val="restart"/>
            <w:textDirection w:val="lrTb"/>
            <w:noWrap w:val="false"/>
          </w:tcPr>
          <w:p w14:paraId="2B6B0887"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9" w:type="dxa"/>
            <w:vAlign w:val="center"/>
            <w:vMerge w:val="restart"/>
            <w:textDirection w:val="lrTb"/>
            <w:noWrap w:val="false"/>
          </w:tcPr>
          <w:p w14:paraId="76E4CF19"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9" w:type="dxa"/>
            <w:vAlign w:val="center"/>
            <w:vMerge w:val="restart"/>
            <w:textDirection w:val="lrTb"/>
            <w:noWrap w:val="false"/>
          </w:tcPr>
          <w:p w14:paraId="2C0392CD"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9" w:type="dxa"/>
            <w:vAlign w:val="center"/>
            <w:vMerge w:val="restart"/>
            <w:textDirection w:val="lrTb"/>
            <w:noWrap w:val="false"/>
          </w:tcPr>
          <w:p w14:paraId="41933323"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9" w:type="dxa"/>
            <w:vAlign w:val="center"/>
            <w:vMerge w:val="restart"/>
            <w:textDirection w:val="lrTb"/>
            <w:noWrap w:val="false"/>
          </w:tcPr>
          <w:p w14:paraId="11B161F8"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9" w:type="dxa"/>
            <w:vAlign w:val="center"/>
            <w:vMerge w:val="restart"/>
            <w:textDirection w:val="lrTb"/>
            <w:noWrap w:val="false"/>
          </w:tcPr>
          <w:p w14:paraId="4D870D3B"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7" w:type="dxa"/>
            <w:vAlign w:val="center"/>
            <w:vMerge w:val="restart"/>
            <w:textDirection w:val="lrTb"/>
            <w:noWrap w:val="false"/>
          </w:tcPr>
          <w:p w14:paraId="0EAC18A5"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7" w:type="dxa"/>
            <w:vAlign w:val="center"/>
            <w:vMerge w:val="restart"/>
            <w:textDirection w:val="lrTb"/>
            <w:noWrap w:val="false"/>
          </w:tcPr>
          <w:p w14:paraId="0D48189C"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5" w:type="dxa"/>
            <w:vAlign w:val="center"/>
            <w:vMerge w:val="restart"/>
            <w:textDirection w:val="lrTb"/>
            <w:noWrap w:val="false"/>
          </w:tcPr>
          <w:p w14:paraId="0311CE01"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2»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</w:p>
        </w:tc>
      </w:tr>
    </w:tbl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2.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Установить, что действие настоящего постановления распространяется на правоотношен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ия, возникшие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c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1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июня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2026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 года.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 w14:paraId="02146540"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 w14:paraId="34B89AB3"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widowControl w:val="false"/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Премьер-министр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widowControl w:val="false"/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  <w:sectPr>
          <w:headerReference w:type="default" r:id="rId9"/>
          <w:headerReference w:type="even" r:id="rId10"/>
          <w:footnotePr/>
          <w:endnotePr/>
          <w:type w:val="nextPage"/>
          <w:pgSz w:h="16838" w:orient="portrait" w:w="11906"/>
          <w:pgMar w:top="1134" w:right="567" w:bottom="851" w:left="1134" w:header="567" w:footer="0" w:gutter="0"/>
          <w:cols w:num="1" w:sep="0" w:space="708" w:equalWidth="1"/>
          <w:titlePg/>
        </w:sect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Республики Татарст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ан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А.В. Песошин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1008"/>
        <w:pBdr/>
        <w:spacing/>
        <w:ind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ПОЯСНИТЕЛЬНАЯ ЗАПИСКА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1008"/>
        <w:pBdr/>
        <w:spacing/>
        <w:ind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к проекту постановления Кабинета Министров Республики Татарстан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1008"/>
        <w:pBdr/>
        <w:spacing/>
        <w:ind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О внесении изменений в Положение об условиях оплаты труда работников государственных организаций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Республики Татарстан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, реализующих дополнительные образовательные программы спортивной подготовки, утвержденно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е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 постановление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м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 Кабинета Министров Республики Татарстан от 25.09.2018 № 853 «Об условиях оплаты труда работников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г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осударственных организаций, реализующих </w:t>
      </w:r>
      <w:bookmarkStart w:id="5" w:name="_Hlk183443538"/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дополнительные образовательные программы спортивной подготовки </w:t>
      </w:r>
      <w:bookmarkEnd w:id="5"/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Республики Татарстан, и государственных центров спортивной подготовки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 w14:paraId="1EBACE50">
      <w:pPr>
        <w:pStyle w:val="1008"/>
        <w:pBdr/>
        <w:spacing/>
        <w:ind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Республики Татарстан»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1008"/>
        <w:pBdr/>
        <w:spacing w:line="276" w:lineRule="auto"/>
        <w:ind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 w14:paraId="7623D1E3">
      <w:pPr>
        <w:pStyle w:val="1008"/>
        <w:pBdr/>
        <w:spacing w:line="288" w:lineRule="auto"/>
        <w:ind w:firstLine="709"/>
        <w:jc w:val="both"/>
        <w:rPr>
          <w:rFonts w:ascii="Times New Roman" w:hAnsi="Times New Roman" w:cs="Times New Roman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highlight w:val="none"/>
          <w14:ligatures w14:val="none"/>
        </w:rPr>
      </w:r>
      <w:r>
        <w:rPr>
          <w:rFonts w:ascii="Times New Roman" w:hAnsi="Times New Roman" w:cs="Times New Roman"/>
          <w:highlight w:val="none"/>
          <w14:ligatures w14:val="none"/>
        </w:rPr>
      </w:r>
    </w:p>
    <w:p w14:paraId="5E6EA37F">
      <w:pPr>
        <w:pStyle w:val="1008"/>
        <w:pBdr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постановления </w:t>
      </w:r>
      <w:r>
        <w:rPr>
          <w:rFonts w:ascii="Times New Roman" w:hAnsi="Times New Roman"/>
          <w:sz w:val="28"/>
          <w:szCs w:val="28"/>
          <w:highlight w:val="none"/>
        </w:rPr>
        <w:t xml:space="preserve">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 внесении изменений в Положение об условиях оплаты труда работников гос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ударственных организаций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реализующих дополнительные образовательные программы спортивной подготовки, утвержденно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постановление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Кабинета Министров Республики Татарс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тан от 25.09.2018 № 853 «Об условиях оплаты труда работников государственных ор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гани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заций, реализующих дополнительные образовательные программы спортивной подготовки Республики Татарстан, и государственных центров спортивной подготовки Республики Татарстан»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разработан в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соответствии с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федера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льн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ы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стандарт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спортивной подготовки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видам спорта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«нарды»,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«чир-спорт»,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«борьба на поясах»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киокусинкай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«конькобежный спорт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«пулевая стрельб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а», «с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тендовая стрельб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восточное боевое единоборство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», 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всестилевое каратэ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кудо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 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«сумо».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1008"/>
        <w:pBdr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Проекто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 постановлени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я </w:t>
      </w:r>
      <w:r>
        <w:rPr>
          <w:rFonts w:ascii="Times New Roman" w:hAnsi="Times New Roman"/>
          <w:sz w:val="28"/>
          <w:szCs w:val="28"/>
          <w:highlight w:val="none"/>
        </w:rPr>
        <w:t xml:space="preserve">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вн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осятся изменения в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Положение об условиях оплаты труда работников гос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ударственных организаций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реализующих дополнительные образовательные программы спортивной подготовки, утвержденно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постановление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Кабинета Министров Республики Татарс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тан от 25.09.2018 № 853 «Об условиях оплаты труда работников государственных ор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ганизаций, реализующих дополнительные образовательные программы спортивной подготовки Республики Татарстан, и государственных центров спортивной подготовки Республики Татарстан»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в части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изменения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услови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оплаты труда работников гос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ударственных организаций физической культуры и спорта Республики Татарстан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по виду спорта «нарды»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«чир-спорт»,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дополнения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и изменения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видов спорта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«борьба на поясах», «киокусинкай», «конькобежный спорт», «пулевая стрельба», «стендовая стрельба», «восточное боевое единоборство», «всестилевое каратэ», «кудо» и «сумо»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1008"/>
        <w:pBdr/>
        <w:shd w:val="clear" w:color="auto" w:fill="ffffff" w:themeFill="background1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Принятие данного проекта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постановления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не потребует выделения дополнительных средств из бюджета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1008"/>
        <w:pBdr/>
        <w:shd w:val="clear" w:color="auto" w:fill="ffffff" w:themeFill="background1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Отсутствуе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 необходимость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в проведении оценки регулирующего воздействия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проекта постановления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1008"/>
        <w:pBdr/>
        <w:shd w:val="clear" w:color="auto" w:fill="ffffff" w:themeFill="background1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По итогам независимой антикоррупционной экспертизы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проекта постановления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 заключений не поступало.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1008"/>
        <w:pBdr/>
        <w:shd w:val="clear" w:color="auto" w:fill="ffffff" w:themeFill="background1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sectPr>
      <w:headerReference w:type="default" r:id="rId11"/>
      <w:headerReference w:type="even" r:id="rId12"/>
      <w:footnotePr/>
      <w:endnotePr/>
      <w:type w:val="nextPage"/>
      <w:pgSz w:h="16838" w:orient="portrait" w:w="11905"/>
      <w:pgMar w:top="851" w:right="850" w:bottom="1134" w:left="1276" w:header="0" w:footer="0" w:gutter="0"/>
      <w:pgNumType w:start="1"/>
      <w:cols w:num="1" w:sep="0" w:space="720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Style w:val="998"/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Style w:val="998"/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undefined">
    <w:panose1 w:val="05040102010807070707"/>
  </w:font>
  <w:font w:name="Times New Roman">
    <w:panose1 w:val="02020603050405020304"/>
  </w:font>
  <w:font w:name="Calibri">
    <w:panose1 w:val="020F0502020204030204"/>
  </w:font>
  <w:font w:name="Segoe UI">
    <w:panose1 w:val="020B0502040204020203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Style w:val="998"/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Style w:val="998"/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980607318"/>
      <w:docPartObj>
        <w:docPartGallery w:val="Page Numbers (Top of Page)"/>
        <w:docPartUnique w:val="true"/>
      </w:docPartObj>
      <w:rPr/>
    </w:sdtPr>
    <w:sdtContent>
      <w:p>
        <w:pPr>
          <w:pStyle w:val="1000"/>
          <w:pBdr/>
          <w:spacing/>
          <w:ind/>
          <w:jc w:val="center"/>
          <w:rPr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 xml:space="preserve">5</w:t>
        </w:r>
        <w:r>
          <w:rPr>
            <w:rFonts w:ascii="Times New Roman" w:hAnsi="Times New Roman" w:cs="Times New Roman"/>
          </w:rPr>
          <w:fldChar w:fldCharType="end"/>
        </w:r>
        <w:r/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179785014"/>
      <w:docPartObj>
        <w:docPartGallery w:val="Page Numbers (Top of Page)"/>
        <w:docPartUnique w:val="true"/>
      </w:docPartObj>
      <w:rPr/>
    </w:sdtPr>
    <w:sdtContent>
      <w:p>
        <w:pPr>
          <w:pStyle w:val="1000"/>
          <w:pBdr/>
          <w:spacing/>
          <w:ind/>
          <w:jc w:val="center"/>
          <w:rPr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6</w:t>
        </w:r>
        <w:r>
          <w:fldChar w:fldCharType="end"/>
        </w:r>
        <w:r/>
      </w:p>
    </w:sdtContent>
  </w:sdt>
  <w:p>
    <w:pPr>
      <w:pStyle w:val="1000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643F5EBE">
    <w:pPr>
      <w:pBdr/>
      <w:spacing/>
      <w:ind/>
      <w:rPr/>
    </w:pPr>
    <w:r/>
    <w:r/>
  </w:p>
  <w:sdt>
    <w:sdtPr>
      <w15:appearance w15:val="boundingBox"/>
      <w:id w:val="-980607318"/>
      <w:docPartObj>
        <w:docPartGallery w:val="Page Numbers (Top of Page)"/>
        <w:docPartUnique w:val="true"/>
      </w:docPartObj>
      <w:rPr/>
    </w:sdtPr>
    <w:sdtContent>
      <w:p>
        <w:pPr>
          <w:pStyle w:val="1000"/>
          <w:pBdr/>
          <w:spacing/>
          <w:ind/>
          <w:jc w:val="center"/>
          <w:rPr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 xml:space="preserve">5</w:t>
        </w:r>
        <w:r>
          <w:rPr>
            <w:rFonts w:ascii="Times New Roman" w:hAnsi="Times New Roman" w:cs="Times New Roman"/>
          </w:rPr>
          <w:fldChar w:fldCharType="end"/>
        </w:r>
        <w:r/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179785014"/>
      <w:docPartObj>
        <w:docPartGallery w:val="Page Numbers (Top of Page)"/>
        <w:docPartUnique w:val="true"/>
      </w:docPartObj>
      <w:rPr/>
    </w:sdtPr>
    <w:sdtContent>
      <w:p>
        <w:pPr>
          <w:pStyle w:val="1000"/>
          <w:pBdr/>
          <w:spacing/>
          <w:ind/>
          <w:jc w:val="center"/>
          <w:rPr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6</w:t>
        </w:r>
        <w:r>
          <w:fldChar w:fldCharType="end"/>
        </w:r>
        <w:r/>
      </w:p>
    </w:sdtContent>
  </w:sdt>
  <w:p>
    <w:pPr>
      <w:pStyle w:val="1000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2062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9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1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3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5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7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9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1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3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107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9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1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3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5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7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9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1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30"/>
      </w:pPr>
      <w:rPr/>
      <w:start w:val="1"/>
      <w:suff w:val="tab"/>
    </w:lvl>
  </w:abstractNum>
  <w:abstractNum w:abstractNumId="2">
    <w:lvl w:ilvl="0">
      <w:isLgl w:val="false"/>
      <w:lvlJc w:val="left"/>
      <w:lvlText w:val="%1)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1275" w:left="2126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440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252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360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432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468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5400"/>
      </w:pPr>
      <w:rPr>
        <w:rFonts w:hint="default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%1)"/>
      <w:numFmt w:val="decimal"/>
      <w:pPr>
        <w:pBdr/>
        <w:spacing/>
        <w:ind w:hanging="360" w:left="149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108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7"/>
  </w:num>
  <w:num w:numId="5">
    <w:abstractNumId w:val="9"/>
  </w:num>
  <w:num w:numId="6">
    <w:abstractNumId w:val="8"/>
  </w:num>
  <w:num w:numId="7">
    <w:abstractNumId w:val="2"/>
  </w:num>
  <w:num w:numId="8">
    <w:abstractNumId w:val="3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13">
    <w:name w:val="Placeholder Text"/>
    <w:basedOn w:val="995"/>
    <w:uiPriority w:val="99"/>
    <w:semiHidden/>
    <w:pPr>
      <w:pBdr/>
      <w:spacing/>
      <w:ind/>
    </w:pPr>
    <w:rPr>
      <w:color w:val="666666"/>
    </w:rPr>
  </w:style>
  <w:style w:type="table" w:styleId="814">
    <w:name w:val="Table Grid Light"/>
    <w:basedOn w:val="99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Plain Table 1"/>
    <w:basedOn w:val="99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Plain Table 2"/>
    <w:basedOn w:val="99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Plain Table 3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Plain Table 4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Plain Table 5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1 Light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1 Light - Accent 1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1 Light - Accent 2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1 Light - Accent 3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1 Light - Accent 4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1 Light - Accent 5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1 Light - Accent 6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2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2 - Accent 1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2 - Accent 2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2 - Accent 3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2 - Accent 4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2 - Accent 5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2 - Accent 6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3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3 - Accent 1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3 - Accent 2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3 - Accent 3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3 - Accent 4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3 - Accent 5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3 - Accent 6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4"/>
    <w:basedOn w:val="99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4 - Accent 1"/>
    <w:basedOn w:val="99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4 - Accent 2"/>
    <w:basedOn w:val="99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4 - Accent 3"/>
    <w:basedOn w:val="99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4 - Accent 4"/>
    <w:basedOn w:val="99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4 - Accent 5"/>
    <w:basedOn w:val="99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4 - Accent 6"/>
    <w:basedOn w:val="99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5 Dark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5 Dark- Accent 1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5 Dark - Accent 2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5 Dark - Accent 3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5 Dark- Accent 4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5 Dark - Accent 5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5 Dark - Accent 6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6 Colorful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6 Colorful - Accent 1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6 Colorful - Accent 2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6 Colorful - Accent 3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6 Colorful - Accent 4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6 Colorful - Accent 5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6 Colorful - Accent 6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7 Colorful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7 Colorful - Accent 1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7 Colorful - Accent 2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7 Colorful - Accent 3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7 Colorful - Accent 4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Grid Table 7 Colorful - Accent 5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Grid Table 7 Colorful - Accent 6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1 Light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1 Light - Accent 1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1 Light - Accent 2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1 Light - Accent 3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1 Light - Accent 4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1 Light - Accent 5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1 Light - Accent 6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2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2 - Accent 1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2 - Accent 2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2 - Accent 3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2 - Accent 4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2 - Accent 5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2 - Accent 6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3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3 - Accent 1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3 - Accent 2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3 - Accent 3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3 - Accent 4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3 - Accent 5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3 - Accent 6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4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4 - Accent 1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4 - Accent 2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4 - Accent 3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4 - Accent 4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4 - Accent 5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4 - Accent 6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5 Dark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5 Dark - Accent 1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5 Dark - Accent 2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5 Dark - Accent 3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5 Dark - Accent 4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5 Dark - Accent 5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5 Dark - Accent 6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6 Colorful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6 Colorful - Accent 1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6 Colorful - Accent 2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6 Colorful - Accent 3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6 Colorful - Accent 4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6 Colorful - Accent 5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6 Colorful - Accent 6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7 Colorful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7 Colorful - Accent 1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7 Colorful - Accent 2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7 Colorful - Accent 3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7 Colorful - Accent 4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st Table 7 Colorful - Accent 5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st Table 7 Colorful - Accent 6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ned - Accent"/>
    <w:basedOn w:val="9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ned - Accent 1"/>
    <w:basedOn w:val="9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ned - Accent 2"/>
    <w:basedOn w:val="9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Lined - Accent 3"/>
    <w:basedOn w:val="9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Lined - Accent 4"/>
    <w:basedOn w:val="9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Lined - Accent 5"/>
    <w:basedOn w:val="9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Lined - Accent 6"/>
    <w:basedOn w:val="9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Bordered &amp; Lined - Accent"/>
    <w:basedOn w:val="9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Bordered &amp; Lined - Accent 1"/>
    <w:basedOn w:val="9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Bordered &amp; Lined - Accent 2"/>
    <w:basedOn w:val="9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Bordered &amp; Lined - Accent 3"/>
    <w:basedOn w:val="9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Bordered &amp; Lined - Accent 4"/>
    <w:basedOn w:val="9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Bordered &amp; Lined - Accent 5"/>
    <w:basedOn w:val="9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Bordered &amp; Lined - Accent 6"/>
    <w:basedOn w:val="9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Bordered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Bordered - Accent 1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Bordered - Accent 2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Bordered - Accent 3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Bordered - Accent 4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Bordered - Accent 5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Bordered - Accent 6"/>
    <w:basedOn w:val="9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39">
    <w:name w:val="Heading 1"/>
    <w:basedOn w:val="994"/>
    <w:next w:val="994"/>
    <w:link w:val="948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40">
    <w:name w:val="Heading 2"/>
    <w:basedOn w:val="994"/>
    <w:next w:val="994"/>
    <w:link w:val="949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41">
    <w:name w:val="Heading 3"/>
    <w:basedOn w:val="994"/>
    <w:next w:val="994"/>
    <w:link w:val="950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42">
    <w:name w:val="Heading 4"/>
    <w:basedOn w:val="994"/>
    <w:next w:val="994"/>
    <w:link w:val="951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43">
    <w:name w:val="Heading 5"/>
    <w:basedOn w:val="994"/>
    <w:next w:val="994"/>
    <w:link w:val="952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44">
    <w:name w:val="Heading 6"/>
    <w:basedOn w:val="994"/>
    <w:next w:val="994"/>
    <w:link w:val="953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45">
    <w:name w:val="Heading 7"/>
    <w:basedOn w:val="994"/>
    <w:next w:val="994"/>
    <w:link w:val="954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46">
    <w:name w:val="Heading 8"/>
    <w:basedOn w:val="994"/>
    <w:next w:val="994"/>
    <w:link w:val="955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47">
    <w:name w:val="Heading 9"/>
    <w:basedOn w:val="994"/>
    <w:next w:val="994"/>
    <w:link w:val="956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48">
    <w:name w:val="Heading 1 Char"/>
    <w:basedOn w:val="995"/>
    <w:link w:val="9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49">
    <w:name w:val="Heading 2 Char"/>
    <w:basedOn w:val="995"/>
    <w:link w:val="9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50">
    <w:name w:val="Heading 3 Char"/>
    <w:basedOn w:val="995"/>
    <w:link w:val="9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51">
    <w:name w:val="Heading 4 Char"/>
    <w:basedOn w:val="995"/>
    <w:link w:val="9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52">
    <w:name w:val="Heading 5 Char"/>
    <w:basedOn w:val="995"/>
    <w:link w:val="9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53">
    <w:name w:val="Heading 6 Char"/>
    <w:basedOn w:val="995"/>
    <w:link w:val="9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54">
    <w:name w:val="Heading 7 Char"/>
    <w:basedOn w:val="995"/>
    <w:link w:val="9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55">
    <w:name w:val="Heading 8 Char"/>
    <w:basedOn w:val="995"/>
    <w:link w:val="9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56">
    <w:name w:val="Heading 9 Char"/>
    <w:basedOn w:val="995"/>
    <w:link w:val="9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57">
    <w:name w:val="Title"/>
    <w:basedOn w:val="994"/>
    <w:next w:val="994"/>
    <w:link w:val="958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58">
    <w:name w:val="Title Char"/>
    <w:basedOn w:val="995"/>
    <w:link w:val="95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59">
    <w:name w:val="Subtitle"/>
    <w:basedOn w:val="994"/>
    <w:next w:val="994"/>
    <w:link w:val="960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60">
    <w:name w:val="Subtitle Char"/>
    <w:basedOn w:val="995"/>
    <w:link w:val="95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61">
    <w:name w:val="Quote"/>
    <w:basedOn w:val="994"/>
    <w:next w:val="994"/>
    <w:link w:val="96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62">
    <w:name w:val="Quote Char"/>
    <w:basedOn w:val="995"/>
    <w:link w:val="961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63">
    <w:name w:val="Intense Emphasis"/>
    <w:basedOn w:val="99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64">
    <w:name w:val="Intense Quote"/>
    <w:basedOn w:val="994"/>
    <w:next w:val="994"/>
    <w:link w:val="965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65">
    <w:name w:val="Intense Quote Char"/>
    <w:basedOn w:val="995"/>
    <w:link w:val="964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66">
    <w:name w:val="Intense Reference"/>
    <w:basedOn w:val="99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67">
    <w:name w:val="No Spacing"/>
    <w:basedOn w:val="994"/>
    <w:uiPriority w:val="1"/>
    <w:qFormat/>
    <w:pPr>
      <w:pBdr/>
      <w:spacing w:after="0" w:line="240" w:lineRule="auto"/>
      <w:ind/>
    </w:pPr>
  </w:style>
  <w:style w:type="character" w:styleId="968">
    <w:name w:val="Subtle Emphasis"/>
    <w:basedOn w:val="99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69">
    <w:name w:val="Emphasis"/>
    <w:basedOn w:val="995"/>
    <w:uiPriority w:val="20"/>
    <w:qFormat/>
    <w:pPr>
      <w:pBdr/>
      <w:spacing/>
      <w:ind/>
    </w:pPr>
    <w:rPr>
      <w:i/>
      <w:iCs/>
    </w:rPr>
  </w:style>
  <w:style w:type="character" w:styleId="970">
    <w:name w:val="Strong"/>
    <w:basedOn w:val="995"/>
    <w:uiPriority w:val="22"/>
    <w:qFormat/>
    <w:pPr>
      <w:pBdr/>
      <w:spacing/>
      <w:ind/>
    </w:pPr>
    <w:rPr>
      <w:b/>
      <w:bCs/>
    </w:rPr>
  </w:style>
  <w:style w:type="character" w:styleId="971">
    <w:name w:val="Subtle Reference"/>
    <w:basedOn w:val="99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72">
    <w:name w:val="Book Title"/>
    <w:basedOn w:val="99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73">
    <w:name w:val="Header Char"/>
    <w:basedOn w:val="995"/>
    <w:link w:val="1000"/>
    <w:uiPriority w:val="99"/>
    <w:pPr>
      <w:pBdr/>
      <w:spacing/>
      <w:ind/>
    </w:pPr>
  </w:style>
  <w:style w:type="character" w:styleId="974">
    <w:name w:val="Footer Char"/>
    <w:basedOn w:val="995"/>
    <w:link w:val="1002"/>
    <w:uiPriority w:val="99"/>
    <w:pPr>
      <w:pBdr/>
      <w:spacing/>
      <w:ind/>
    </w:pPr>
  </w:style>
  <w:style w:type="paragraph" w:styleId="975">
    <w:name w:val="Caption"/>
    <w:basedOn w:val="994"/>
    <w:next w:val="99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76">
    <w:name w:val="footnote text"/>
    <w:basedOn w:val="994"/>
    <w:link w:val="97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77">
    <w:name w:val="Footnote Text Char"/>
    <w:basedOn w:val="995"/>
    <w:link w:val="976"/>
    <w:uiPriority w:val="99"/>
    <w:semiHidden/>
    <w:pPr>
      <w:pBdr/>
      <w:spacing/>
      <w:ind/>
    </w:pPr>
    <w:rPr>
      <w:sz w:val="20"/>
      <w:szCs w:val="20"/>
    </w:rPr>
  </w:style>
  <w:style w:type="character" w:styleId="978">
    <w:name w:val="footnote reference"/>
    <w:basedOn w:val="995"/>
    <w:uiPriority w:val="99"/>
    <w:semiHidden/>
    <w:unhideWhenUsed/>
    <w:pPr>
      <w:pBdr/>
      <w:spacing/>
      <w:ind/>
    </w:pPr>
    <w:rPr>
      <w:vertAlign w:val="superscript"/>
    </w:rPr>
  </w:style>
  <w:style w:type="paragraph" w:styleId="979">
    <w:name w:val="endnote text"/>
    <w:basedOn w:val="994"/>
    <w:link w:val="98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80">
    <w:name w:val="Endnote Text Char"/>
    <w:basedOn w:val="995"/>
    <w:link w:val="979"/>
    <w:uiPriority w:val="99"/>
    <w:semiHidden/>
    <w:pPr>
      <w:pBdr/>
      <w:spacing/>
      <w:ind/>
    </w:pPr>
    <w:rPr>
      <w:sz w:val="20"/>
      <w:szCs w:val="20"/>
    </w:rPr>
  </w:style>
  <w:style w:type="character" w:styleId="981">
    <w:name w:val="endnote reference"/>
    <w:basedOn w:val="995"/>
    <w:uiPriority w:val="99"/>
    <w:semiHidden/>
    <w:unhideWhenUsed/>
    <w:pPr>
      <w:pBdr/>
      <w:spacing/>
      <w:ind/>
    </w:pPr>
    <w:rPr>
      <w:vertAlign w:val="superscript"/>
    </w:rPr>
  </w:style>
  <w:style w:type="character" w:styleId="982">
    <w:name w:val="FollowedHyperlink"/>
    <w:basedOn w:val="99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83">
    <w:name w:val="toc 1"/>
    <w:basedOn w:val="994"/>
    <w:next w:val="994"/>
    <w:uiPriority w:val="39"/>
    <w:unhideWhenUsed/>
    <w:pPr>
      <w:pBdr/>
      <w:spacing w:after="100"/>
      <w:ind/>
    </w:pPr>
  </w:style>
  <w:style w:type="paragraph" w:styleId="984">
    <w:name w:val="toc 2"/>
    <w:basedOn w:val="994"/>
    <w:next w:val="994"/>
    <w:uiPriority w:val="39"/>
    <w:unhideWhenUsed/>
    <w:pPr>
      <w:pBdr/>
      <w:spacing w:after="100"/>
      <w:ind w:left="220"/>
    </w:pPr>
  </w:style>
  <w:style w:type="paragraph" w:styleId="985">
    <w:name w:val="toc 3"/>
    <w:basedOn w:val="994"/>
    <w:next w:val="994"/>
    <w:uiPriority w:val="39"/>
    <w:unhideWhenUsed/>
    <w:pPr>
      <w:pBdr/>
      <w:spacing w:after="100"/>
      <w:ind w:left="440"/>
    </w:pPr>
  </w:style>
  <w:style w:type="paragraph" w:styleId="986">
    <w:name w:val="toc 4"/>
    <w:basedOn w:val="994"/>
    <w:next w:val="994"/>
    <w:uiPriority w:val="39"/>
    <w:unhideWhenUsed/>
    <w:pPr>
      <w:pBdr/>
      <w:spacing w:after="100"/>
      <w:ind w:left="660"/>
    </w:pPr>
  </w:style>
  <w:style w:type="paragraph" w:styleId="987">
    <w:name w:val="toc 5"/>
    <w:basedOn w:val="994"/>
    <w:next w:val="994"/>
    <w:uiPriority w:val="39"/>
    <w:unhideWhenUsed/>
    <w:pPr>
      <w:pBdr/>
      <w:spacing w:after="100"/>
      <w:ind w:left="880"/>
    </w:pPr>
  </w:style>
  <w:style w:type="paragraph" w:styleId="988">
    <w:name w:val="toc 6"/>
    <w:basedOn w:val="994"/>
    <w:next w:val="994"/>
    <w:uiPriority w:val="39"/>
    <w:unhideWhenUsed/>
    <w:pPr>
      <w:pBdr/>
      <w:spacing w:after="100"/>
      <w:ind w:left="1100"/>
    </w:pPr>
  </w:style>
  <w:style w:type="paragraph" w:styleId="989">
    <w:name w:val="toc 7"/>
    <w:basedOn w:val="994"/>
    <w:next w:val="994"/>
    <w:uiPriority w:val="39"/>
    <w:unhideWhenUsed/>
    <w:pPr>
      <w:pBdr/>
      <w:spacing w:after="100"/>
      <w:ind w:left="1320"/>
    </w:pPr>
  </w:style>
  <w:style w:type="paragraph" w:styleId="990">
    <w:name w:val="toc 8"/>
    <w:basedOn w:val="994"/>
    <w:next w:val="994"/>
    <w:uiPriority w:val="39"/>
    <w:unhideWhenUsed/>
    <w:pPr>
      <w:pBdr/>
      <w:spacing w:after="100"/>
      <w:ind w:left="1540"/>
    </w:pPr>
  </w:style>
  <w:style w:type="paragraph" w:styleId="991">
    <w:name w:val="toc 9"/>
    <w:basedOn w:val="994"/>
    <w:next w:val="994"/>
    <w:uiPriority w:val="39"/>
    <w:unhideWhenUsed/>
    <w:pPr>
      <w:pBdr/>
      <w:spacing w:after="100"/>
      <w:ind w:left="1760"/>
    </w:pPr>
  </w:style>
  <w:style w:type="paragraph" w:styleId="992">
    <w:name w:val="TOC Heading"/>
    <w:uiPriority w:val="39"/>
    <w:unhideWhenUsed/>
    <w:pPr>
      <w:pBdr/>
      <w:spacing/>
      <w:ind/>
    </w:pPr>
  </w:style>
  <w:style w:type="paragraph" w:styleId="993">
    <w:name w:val="table of figures"/>
    <w:basedOn w:val="994"/>
    <w:next w:val="994"/>
    <w:uiPriority w:val="99"/>
    <w:unhideWhenUsed/>
    <w:pPr>
      <w:pBdr/>
      <w:spacing w:after="0" w:afterAutospacing="0"/>
      <w:ind/>
    </w:pPr>
  </w:style>
  <w:style w:type="paragraph" w:styleId="994" w:default="1">
    <w:name w:val="Normal"/>
    <w:qFormat/>
    <w:pPr>
      <w:pBdr/>
      <w:spacing/>
      <w:ind/>
    </w:pPr>
  </w:style>
  <w:style w:type="character" w:styleId="995" w:default="1">
    <w:name w:val="Default Paragraph Font"/>
    <w:uiPriority w:val="1"/>
    <w:semiHidden/>
    <w:unhideWhenUsed/>
    <w:pPr>
      <w:pBdr/>
      <w:spacing/>
      <w:ind/>
    </w:pPr>
  </w:style>
  <w:style w:type="table" w:styleId="99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97" w:default="1">
    <w:name w:val="No List"/>
    <w:uiPriority w:val="99"/>
    <w:semiHidden/>
    <w:unhideWhenUsed/>
    <w:pPr>
      <w:pBdr/>
      <w:spacing/>
      <w:ind/>
    </w:pPr>
  </w:style>
  <w:style w:type="paragraph" w:styleId="998">
    <w:name w:val="List Paragraph"/>
    <w:basedOn w:val="994"/>
    <w:uiPriority w:val="34"/>
    <w:qFormat/>
    <w:pPr>
      <w:pBdr/>
      <w:spacing/>
      <w:ind w:left="720"/>
      <w:contextualSpacing w:val="true"/>
    </w:pPr>
  </w:style>
  <w:style w:type="table" w:styleId="999">
    <w:name w:val="Table Grid"/>
    <w:basedOn w:val="996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00">
    <w:name w:val="Header"/>
    <w:basedOn w:val="994"/>
    <w:link w:val="1001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1001" w:customStyle="1">
    <w:name w:val="Верхний колонтитул Знак"/>
    <w:basedOn w:val="995"/>
    <w:link w:val="1000"/>
    <w:uiPriority w:val="99"/>
    <w:pPr>
      <w:pBdr/>
      <w:spacing/>
      <w:ind/>
    </w:pPr>
  </w:style>
  <w:style w:type="paragraph" w:styleId="1002">
    <w:name w:val="Footer"/>
    <w:basedOn w:val="994"/>
    <w:link w:val="1003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1003" w:customStyle="1">
    <w:name w:val="Нижний колонтитул Знак"/>
    <w:basedOn w:val="995"/>
    <w:link w:val="1002"/>
    <w:uiPriority w:val="99"/>
    <w:pPr>
      <w:pBdr/>
      <w:spacing/>
      <w:ind/>
    </w:pPr>
  </w:style>
  <w:style w:type="paragraph" w:styleId="1004">
    <w:name w:val="Document Map"/>
    <w:basedOn w:val="994"/>
    <w:link w:val="1005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1005" w:customStyle="1">
    <w:name w:val="Схема документа Знак"/>
    <w:basedOn w:val="995"/>
    <w:link w:val="100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1006">
    <w:name w:val="Balloon Text"/>
    <w:basedOn w:val="994"/>
    <w:link w:val="1007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1007" w:customStyle="1">
    <w:name w:val="Текст выноски Знак"/>
    <w:basedOn w:val="995"/>
    <w:link w:val="1006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1008" w:customStyle="1">
    <w:name w:val="ConsPlusNormal"/>
    <w:pPr>
      <w:widowControl w:val="false"/>
      <w:pBdr/>
      <w:spacing w:after="0" w:line="240" w:lineRule="auto"/>
      <w:ind/>
    </w:pPr>
    <w:rPr>
      <w:rFonts w:ascii="Calibri" w:hAnsi="Calibri" w:eastAsia="Times New Roman" w:cs="Calibri"/>
      <w:szCs w:val="20"/>
      <w:lang w:eastAsia="ru-RU"/>
    </w:rPr>
  </w:style>
  <w:style w:type="paragraph" w:styleId="1009" w:customStyle="1">
    <w:name w:val="ConsPlusTitle"/>
    <w:pPr>
      <w:widowControl w:val="false"/>
      <w:pBdr/>
      <w:spacing w:after="0" w:line="240" w:lineRule="auto"/>
      <w:ind/>
    </w:pPr>
    <w:rPr>
      <w:rFonts w:ascii="Calibri" w:hAnsi="Calibri" w:eastAsia="Times New Roman" w:cs="Calibri"/>
      <w:b/>
      <w:szCs w:val="20"/>
      <w:lang w:eastAsia="ru-RU"/>
    </w:rPr>
  </w:style>
  <w:style w:type="character" w:styleId="1010">
    <w:name w:val="Hyperlink"/>
    <w:basedOn w:val="995"/>
    <w:uiPriority w:val="99"/>
    <w:semiHidden/>
    <w:unhideWhenUsed/>
    <w:pPr>
      <w:pBdr/>
      <w:spacing/>
      <w:ind/>
    </w:pPr>
    <w:rPr>
      <w:color w:val="0000ff" w:themeColor="hyperlink"/>
      <w:u w:val="single"/>
    </w:rPr>
  </w:style>
  <w:style w:type="paragraph" w:styleId="1011">
    <w:name w:val="Normal (Web)"/>
    <w:basedOn w:val="994"/>
    <w:uiPriority w:val="99"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customXml" Target="../customXml/item1.xml" /><Relationship Id="rId14" Type="http://schemas.openxmlformats.org/officeDocument/2006/relationships/hyperlink" Target="https://login.consultant.ru/link/?req=doc&amp;base=RLAW363&amp;n=137254&amp;dst=103628&amp;field=134&amp;date=28.02.2025" TargetMode="External"/><Relationship Id="rId15" Type="http://schemas.openxmlformats.org/officeDocument/2006/relationships/hyperlink" Target="https://login.consultant.ru/link/?req=doc&amp;base=RLAW363&amp;n=137254&amp;dst=103628&amp;field=134&amp;date=28.02.202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E7609091-7A6A-4726-9B79-FEE057B374EF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ONLYOFFICE/9.4.0.129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mitrofanova</dc:creator>
  <cp:revision>36</cp:revision>
  <dcterms:created xsi:type="dcterms:W3CDTF">2025-02-11T09:08:00Z</dcterms:created>
  <dcterms:modified xsi:type="dcterms:W3CDTF">2026-06-10T08:06:33Z</dcterms:modified>
</cp:coreProperties>
</file>