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framePr w:w="10824" w:h="2884" w:hSpace="180" w:wrap="auto" w:vAnchor="text" w:hAnchor="page" w:x="376" w:y="-20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tbl>
      <w:tblPr>
        <w:tblpPr w:leftFromText="180" w:rightFromText="180" w:vertAnchor="text" w:horzAnchor="margin" w:tblpXSpec="center" w:tblpY="2146"/>
        <w:tblW w:w="0" w:type="auto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</w:rPr>
              <w:t>ПРИКАЗ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>
            <w:pPr>
              <w:widowControl w:val="0"/>
              <w:tabs>
                <w:tab w:val="right" w:pos="93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«______» _________________20__ г.</w:t>
            </w:r>
            <w:r>
              <w:rPr>
                <w:rFonts w:ascii="Times New Roman" w:hAnsi="Times New Roman"/>
                <w:sz w:val="28"/>
              </w:rPr>
              <w:tab/>
              <w:t>№ ___________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>
      <w:pPr>
        <w:framePr w:w="10936" w:h="2956" w:hSpace="180" w:wrap="auto" w:vAnchor="text" w:hAnchor="page" w:x="646" w:y="-85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>
      <w:pPr>
        <w:framePr w:w="10936" w:h="2461" w:hRule="exact" w:hSpace="180" w:wrap="auto" w:vAnchor="text" w:hAnchor="page" w:x="421" w:y="-85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>
      <w:pPr>
        <w:framePr w:w="11395" w:h="2281" w:hSpace="180" w:wrap="auto" w:vAnchor="text" w:hAnchor="page" w:x="262" w:y="-79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>
      <w:pPr>
        <w:framePr w:w="11395" w:h="2281" w:hSpace="180" w:wrap="auto" w:vAnchor="text" w:hAnchor="page" w:x="262" w:y="-79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>
      <w:pPr>
        <w:framePr w:w="11395" w:h="2281" w:hSpace="180" w:wrap="auto" w:vAnchor="text" w:hAnchor="page" w:x="262" w:y="-79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143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framePr w:w="11395" w:h="2281" w:hSpace="180" w:wrap="auto" w:vAnchor="text" w:hAnchor="page" w:x="262" w:y="-79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>
      <w:pPr>
        <w:framePr w:w="11395" w:h="2281" w:hSpace="180" w:wrap="auto" w:vAnchor="text" w:hAnchor="page" w:x="262" w:y="-790"/>
        <w:overflowPunct w:val="0"/>
        <w:autoSpaceDE w:val="0"/>
        <w:autoSpaceDN w:val="0"/>
        <w:adjustRightInd w:val="0"/>
        <w:spacing w:after="0" w:line="360" w:lineRule="auto"/>
        <w:ind w:left="709" w:hanging="142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inline distT="0" distB="0" distL="0" distR="0">
                <wp:extent cx="6438900" cy="635"/>
                <wp:effectExtent l="0" t="19050" r="0" b="37465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line w14:anchorId="7F5B7158" id="Прямая соединительная линия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" strokeweight="3pt">
                <v:stroke startarrowwidth="narrow" startarrowlength="long" endarrowwidth="narrow" endarrowlength="long" linestyle="thickThin"/>
                <w10:anchorlock/>
              </v:line>
            </w:pict>
          </mc:Fallback>
        </mc:AlternateContent>
      </w:r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tar Pragmatica" w:eastAsia="Times New Roman" w:hAnsi="Tatar Pragmatica" w:cs="Times New Roman"/>
          <w:sz w:val="24"/>
          <w:szCs w:val="20"/>
          <w:lang w:eastAsia="ru-RU"/>
        </w:rPr>
      </w:pPr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АГЕНТСТВО  ИНВЕСТИЦИОННОГО</w:t>
      </w:r>
      <w:proofErr w:type="gramEnd"/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РАЗВИТИЯ</w:t>
      </w:r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</w:t>
      </w:r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tar Pragmatica" w:eastAsia="Times New Roman" w:hAnsi="Tatar Pragmatica" w:cs="Times New Roman"/>
          <w:sz w:val="10"/>
          <w:szCs w:val="20"/>
          <w:lang w:eastAsia="ru-RU"/>
        </w:rPr>
      </w:pPr>
    </w:p>
    <w:p>
      <w:pPr>
        <w:framePr w:w="4633" w:h="1381" w:hRule="exact" w:hSpace="141" w:wrap="auto" w:vAnchor="text" w:hAnchor="page" w:x="835" w:y="-428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tar Pragmatica" w:eastAsia="Times New Roman" w:hAnsi="Tatar Pragmatica" w:cs="Times New Roman"/>
          <w:sz w:val="16"/>
          <w:szCs w:val="20"/>
          <w:lang w:eastAsia="ru-RU"/>
        </w:rPr>
      </w:pPr>
    </w:p>
    <w:p>
      <w:pPr>
        <w:framePr w:w="4468" w:h="1021" w:hRule="exact" w:hSpace="141" w:wrap="auto" w:vAnchor="text" w:hAnchor="page" w:x="6850" w:y="-14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</w:rPr>
        <w:t>АГЕНТСТВО ИНВЕСТИЦИОННОГО</w:t>
      </w:r>
    </w:p>
    <w:p>
      <w:pPr>
        <w:framePr w:w="4468" w:h="1021" w:hRule="exact" w:hSpace="141" w:wrap="auto" w:vAnchor="text" w:hAnchor="page" w:x="6850" w:y="-14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</w:rPr>
        <w:t>РАЗВИТИЯ</w:t>
      </w:r>
    </w:p>
    <w:p>
      <w:pPr>
        <w:framePr w:w="4468" w:h="1021" w:hRule="exact" w:hSpace="141" w:wrap="auto" w:vAnchor="text" w:hAnchor="page" w:x="6850" w:y="-14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  <w:r>
        <w:rPr>
          <w:rFonts w:ascii="Times New Roman" w:hAnsi="Times New Roman"/>
          <w:sz w:val="24"/>
        </w:rPr>
        <w:t>РЕСПУБЛИКИ ТАТАРСТАН</w:t>
      </w:r>
    </w:p>
    <w:p>
      <w:pPr>
        <w:framePr w:w="4468" w:h="1021" w:hRule="exact" w:hSpace="141" w:wrap="auto" w:vAnchor="text" w:hAnchor="page" w:x="6850" w:y="-143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tar Pragmatica" w:eastAsia="Times New Roman" w:hAnsi="Tatar Pragmatica" w:cs="Times New Roman"/>
          <w:sz w:val="10"/>
          <w:szCs w:val="20"/>
          <w:lang w:eastAsia="ru-RU"/>
        </w:rPr>
      </w:pPr>
    </w:p>
    <w:p>
      <w:pPr>
        <w:framePr w:w="4468" w:h="1021" w:hRule="exact" w:hSpace="141" w:wrap="auto" w:vAnchor="text" w:hAnchor="page" w:x="6850" w:y="-143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8496" w:hanging="8496"/>
        <w:jc w:val="center"/>
        <w:textAlignment w:val="baseline"/>
        <w:rPr>
          <w:rFonts w:ascii="Tatar Pragmatica" w:eastAsia="Times New Roman" w:hAnsi="Tatar Pragmatica" w:cs="Times New Roman"/>
          <w:sz w:val="16"/>
          <w:szCs w:val="20"/>
          <w:lang w:eastAsia="ru-RU"/>
        </w:rPr>
      </w:pPr>
    </w:p>
    <w:p>
      <w:pPr>
        <w:framePr w:w="4468" w:h="1021" w:hRule="exact" w:hSpace="141" w:wrap="auto" w:vAnchor="text" w:hAnchor="page" w:x="6850" w:y="-143"/>
        <w:tabs>
          <w:tab w:val="left" w:pos="-1985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8496" w:hanging="8496"/>
        <w:jc w:val="center"/>
        <w:textAlignment w:val="baseline"/>
        <w:rPr>
          <w:rFonts w:ascii="Tatar Pragmatica" w:eastAsia="Times New Roman" w:hAnsi="Tatar Pragmatica" w:cs="Times New Roman"/>
          <w:sz w:val="16"/>
          <w:szCs w:val="20"/>
          <w:lang w:eastAsia="ru-RU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right="425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keepNext/>
        <w:widowControl w:val="0"/>
        <w:overflowPunct w:val="0"/>
        <w:autoSpaceDE w:val="0"/>
        <w:autoSpaceDN w:val="0"/>
        <w:adjustRightInd w:val="0"/>
        <w:spacing w:after="0"/>
        <w:ind w:right="142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25 декабря 2008 года № 273-ФЗ «О противодействии коррупции», Указа Президента Республики Татарстан от 30 декабря 2009 года № УП-701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характера»,</w:t>
      </w:r>
    </w:p>
    <w:p>
      <w:pPr>
        <w:widowControl w:val="0"/>
        <w:overflowPunct w:val="0"/>
        <w:autoSpaceDE w:val="0"/>
        <w:autoSpaceDN w:val="0"/>
        <w:adjustRightInd w:val="0"/>
        <w:spacing w:before="120" w:after="0"/>
        <w:ind w:right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Перечень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</w:t>
      </w:r>
      <w:r>
        <w:rPr>
          <w:rFonts w:ascii="Times New Roman" w:hAnsi="Times New Roman"/>
          <w:sz w:val="28"/>
          <w:szCs w:val="28"/>
        </w:rPr>
        <w:lastRenderedPageBreak/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— Перечень).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Отделу правового и документационного обеспечения Агентства инвестиционного развития Республики Татарстан: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2.1. Разъяснять ограничения, обязанности и ответственность, предусмотренные статьей 12 Федерального закона от 25 декабря 2008 года № 273-ФЗ «О противодействии коррупции», государственным гражданским служащим, замещавшим должности, включенные в Перечень, при их увольнении.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2.2. Довести настоящий приказ до сведения государственных гражданских служащих, включенных в Перечень.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приказ Агентства инвестиционного развития Республики Татарстан от 19.06.2025 № 14 «Об утверждении Перечня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приказа оставляю за собой.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2655"/>
        </w:tabs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Т.И.Минуллина</w:t>
      </w:r>
    </w:p>
    <w:p>
      <w:pPr>
        <w:widowControl w:val="0"/>
        <w:tabs>
          <w:tab w:val="left" w:pos="2655"/>
        </w:tabs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ageBreakBefore/>
        <w:ind w:left="5812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6"/>
        </w:rPr>
        <w:lastRenderedPageBreak/>
        <w:t>Утвержден приказом Агентства</w:t>
      </w:r>
      <w:r>
        <w:rPr>
          <w:rFonts w:ascii="Times New Roman" w:hAnsi="Times New Roman"/>
          <w:sz w:val="26"/>
        </w:rPr>
        <w:br/>
        <w:t>инвестиционного развития</w:t>
      </w:r>
      <w:r>
        <w:rPr>
          <w:rFonts w:ascii="Times New Roman" w:hAnsi="Times New Roman"/>
          <w:sz w:val="26"/>
        </w:rPr>
        <w:br/>
        <w:t>Республики Татарстан</w:t>
      </w:r>
    </w:p>
    <w:p>
      <w:pPr>
        <w:tabs>
          <w:tab w:val="right" w:pos="9071"/>
        </w:tabs>
        <w:ind w:left="5812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6"/>
        </w:rPr>
        <w:t>от «___» _________ 20__ № ___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</w:rPr>
        <w:t>Перечень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7244"/>
        <w:gridCol w:w="2394"/>
      </w:tblGrid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br/>
              <w:t>п/п</w:t>
            </w:r>
          </w:p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b/>
                <w:sz w:val="28"/>
              </w:rPr>
              <w:t>Наименование должности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z w:val="28"/>
              </w:rPr>
              <w:br/>
              <w:t>должностей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Руководство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Первый заместитель руководителя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Заместитель руководителя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экспертизы инвестиционных проектов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tabs>
                <w:tab w:val="center" w:pos="3607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советник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поддержки и сопровождения инвестиционных</w:t>
            </w:r>
            <w:r>
              <w:rPr>
                <w:sz w:val="28"/>
              </w:rPr>
              <w:br/>
              <w:t>проектов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советник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Информационно-аналитический отдел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развития государственного частного партнерства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советник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правового и документационного обеспечения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советник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финансового учета и государственных закупок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протокола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координации деятельности по привлечению</w:t>
            </w:r>
            <w:r>
              <w:rPr>
                <w:sz w:val="28"/>
              </w:rPr>
              <w:br/>
              <w:t>инвестиций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tabs>
                <w:tab w:val="left" w:pos="2604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повышения инвестиционной привлекательности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Отдел мониторинга и структурирования реализации</w:t>
            </w:r>
            <w:r>
              <w:rPr>
                <w:sz w:val="28"/>
              </w:rPr>
              <w:br/>
              <w:t>инвестиционных проектов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советник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6"/>
              <w:tabs>
                <w:tab w:val="left" w:pos="2580"/>
              </w:tabs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  <w:lang w:val="tt-RU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6"/>
              <w:spacing w:before="0" w:beforeAutospacing="0" w:after="0" w:afterAutospacing="0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8"/>
                <w:szCs w:val="28"/>
                <w:lang w:val="tt-RU"/>
              </w:rPr>
            </w:pPr>
            <w:r>
              <w:rPr>
                <w:b/>
                <w:sz w:val="28"/>
              </w:rPr>
              <w:t>27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подгот</w:t>
      </w:r>
      <w:r>
        <w:rPr>
          <w:rFonts w:ascii="Times New Roman" w:hAnsi="Times New Roman" w:cs="Times New Roman"/>
          <w:sz w:val="28"/>
          <w:szCs w:val="28"/>
        </w:rPr>
        <w:t>овил:</w:t>
      </w:r>
      <w:bookmarkStart w:id="0" w:name="_GoBack"/>
      <w:bookmarkEnd w:id="0"/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Узбеков Ш.М.</w:t>
      </w:r>
    </w:p>
    <w:sectPr>
      <w:endnotePr>
        <w:numFmt w:val="decimal"/>
      </w:endnotePr>
      <w:pgSz w:w="11907" w:h="16834"/>
      <w:pgMar w:top="851" w:right="851" w:bottom="851" w:left="1134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73D"/>
    <w:multiLevelType w:val="hybridMultilevel"/>
    <w:tmpl w:val="EBFA9920"/>
    <w:lvl w:ilvl="0" w:tplc="1292D716">
      <w:start w:val="1"/>
      <w:numFmt w:val="decimal"/>
      <w:lvlText w:val="%1."/>
      <w:lvlJc w:val="left"/>
      <w:pPr>
        <w:ind w:left="1213" w:hanging="50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643F-F05D-47C5-B781-84058C8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8">
    <w:name w:val="Гипертекстовая ссылка"/>
    <w:basedOn w:val="a0"/>
    <w:uiPriority w:val="99"/>
    <w:rPr>
      <w:color w:val="106BBE"/>
    </w:rPr>
  </w:style>
  <w:style w:type="paragraph" w:customStyle="1" w:styleId="a9">
    <w:name w:val="Комментарий"/>
    <w:basedOn w:val="a"/>
    <w:next w:val="a"/>
    <w:uiPriority w:val="9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0AD7-ABE7-40B1-BC57-7AC1D6F8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Эльза Шарафутдинова</dc:creator>
  <cp:lastModifiedBy>Узбеков Шамиль Мохаммядиевич</cp:lastModifiedBy>
  <cp:revision>15</cp:revision>
  <cp:lastPrinted>2026-06-03T09:18:00Z</cp:lastPrinted>
  <dcterms:created xsi:type="dcterms:W3CDTF">2024-08-06T06:42:00Z</dcterms:created>
  <dcterms:modified xsi:type="dcterms:W3CDTF">2026-06-03T09:36:00Z</dcterms:modified>
</cp:coreProperties>
</file>