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528"/>
        <w:jc w:val="center"/>
        <w:tabs>
          <w:tab w:val="left" w:pos="182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Проект </w:t>
      </w:r>
      <w:r>
        <w:rPr>
          <w:sz w:val="28"/>
        </w:rPr>
      </w:r>
    </w:p>
    <w:p>
      <w:pPr>
        <w:ind w:right="5528"/>
        <w:jc w:val="both"/>
        <w:tabs>
          <w:tab w:val="left" w:pos="1820" w:leader="none"/>
        </w:tabs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right="5528"/>
        <w:jc w:val="both"/>
        <w:tabs>
          <w:tab w:val="left" w:pos="1820" w:leader="none"/>
        </w:tabs>
        <w:rPr>
          <w:sz w:val="28"/>
          <w:szCs w:val="28"/>
        </w:rPr>
      </w:pPr>
      <w:r>
        <w:rPr>
          <w:sz w:val="28"/>
        </w:rPr>
        <w:t xml:space="preserve">«Об </w:t>
      </w:r>
      <w:r>
        <w:rPr>
          <w:sz w:val="28"/>
        </w:rPr>
        <w:t xml:space="preserve">утверждении порядка установления квоты для приема на работу участников специальной военной операции</w:t>
      </w:r>
      <w:r>
        <w:rPr>
          <w:sz w:val="28"/>
        </w:rPr>
        <w:t xml:space="preserve">»</w:t>
      </w:r>
      <w:r/>
    </w:p>
    <w:p>
      <w:pPr>
        <w:ind w:right="6237"/>
        <w:jc w:val="both"/>
        <w:tabs>
          <w:tab w:val="left" w:pos="182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6379"/>
        <w:jc w:val="both"/>
        <w:tabs>
          <w:tab w:val="left" w:pos="1820" w:leader="none"/>
          <w:tab w:val="left" w:pos="354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tabs>
          <w:tab w:val="left" w:pos="1820" w:leader="none"/>
        </w:tabs>
        <w:rPr>
          <w:sz w:val="28"/>
        </w:rPr>
      </w:pPr>
      <w:r>
        <w:rPr>
          <w:sz w:val="28"/>
        </w:rPr>
        <w:t xml:space="preserve">Во исполнение</w:t>
      </w:r>
      <w:r>
        <w:rPr>
          <w:sz w:val="28"/>
        </w:rPr>
        <w:t xml:space="preserve"> </w:t>
      </w:r>
      <w:r>
        <w:rPr>
          <w:sz w:val="28"/>
        </w:rPr>
        <w:t xml:space="preserve">статьи 3 </w:t>
      </w:r>
      <w:r>
        <w:rPr>
          <w:sz w:val="28"/>
        </w:rPr>
        <w:t xml:space="preserve">Закона Республики Татарстан</w:t>
      </w:r>
      <w:r>
        <w:rPr>
          <w:sz w:val="28"/>
        </w:rPr>
        <w:t xml:space="preserve"> от 25 апреля </w:t>
      </w:r>
      <w:r>
        <w:rPr>
          <w:sz w:val="28"/>
        </w:rPr>
        <w:t xml:space="preserve">2026 </w:t>
      </w:r>
      <w:r>
        <w:rPr>
          <w:sz w:val="28"/>
        </w:rPr>
        <w:t xml:space="preserve">года </w:t>
      </w:r>
      <w:r>
        <w:rPr>
          <w:sz w:val="28"/>
        </w:rPr>
        <w:t xml:space="preserve">№ 23-ЗРТ «О квотировании рабочих мест для приема на работу участников специальной военной операции»</w:t>
      </w:r>
      <w:r>
        <w:rPr>
          <w:sz w:val="28"/>
        </w:rPr>
        <w:t xml:space="preserve"> </w:t>
      </w:r>
      <w:r>
        <w:rPr>
          <w:spacing w:val="40"/>
          <w:sz w:val="28"/>
        </w:rPr>
        <w:t xml:space="preserve">приказываю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ind w:firstLine="709"/>
        <w:jc w:val="both"/>
        <w:tabs>
          <w:tab w:val="left" w:pos="182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rPr>
          <w:sz w:val="28"/>
          <w:szCs w:val="12"/>
        </w:rPr>
      </w:pPr>
      <w:r>
        <w:rPr>
          <w:sz w:val="28"/>
        </w:rPr>
        <w:t xml:space="preserve">1.</w:t>
      </w:r>
      <w:r>
        <w:rPr>
          <w:sz w:val="28"/>
        </w:rPr>
        <w:t xml:space="preserve"> </w:t>
      </w:r>
      <w:r>
        <w:rPr>
          <w:sz w:val="28"/>
        </w:rPr>
        <w:t xml:space="preserve">Утвердить прилагаемый </w:t>
      </w:r>
      <w:r>
        <w:rPr>
          <w:sz w:val="28"/>
          <w:szCs w:val="12"/>
        </w:rPr>
        <w:t xml:space="preserve">порядок установления квоты для приема на работу участников специальной во</w:t>
      </w:r>
      <w:r>
        <w:rPr>
          <w:sz w:val="28"/>
          <w:szCs w:val="12"/>
        </w:rPr>
        <w:t xml:space="preserve">енной операции</w:t>
      </w:r>
      <w:r>
        <w:rPr>
          <w:sz w:val="28"/>
          <w:szCs w:val="12"/>
        </w:rPr>
        <w:t xml:space="preserve">.</w:t>
      </w:r>
      <w:r>
        <w:rPr>
          <w:sz w:val="28"/>
          <w:szCs w:val="12"/>
        </w:rPr>
      </w:r>
    </w:p>
    <w:p>
      <w:pPr>
        <w:ind w:firstLine="567"/>
        <w:jc w:val="both"/>
        <w:rPr>
          <w:sz w:val="28"/>
          <w:szCs w:val="12"/>
        </w:rPr>
      </w:pPr>
      <w:r>
        <w:rPr>
          <w:sz w:val="28"/>
          <w:szCs w:val="12"/>
        </w:rPr>
        <w:t xml:space="preserve">2. Установить, что настоящий приказ вступает </w:t>
      </w:r>
      <w:r>
        <w:rPr>
          <w:sz w:val="28"/>
          <w:szCs w:val="12"/>
        </w:rPr>
        <w:t xml:space="preserve">в силу с 1 сентября 2026 года.</w:t>
      </w:r>
      <w:r>
        <w:rPr>
          <w:sz w:val="28"/>
          <w:szCs w:val="12"/>
        </w:rPr>
      </w:r>
    </w:p>
    <w:p>
      <w:pPr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</w:r>
      <w:r>
        <w:rPr>
          <w:sz w:val="28"/>
          <w:szCs w:val="12"/>
        </w:rPr>
      </w:r>
    </w:p>
    <w:p>
      <w:pPr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</w:r>
      <w:r>
        <w:rPr>
          <w:sz w:val="28"/>
          <w:szCs w:val="12"/>
        </w:rPr>
      </w:r>
    </w:p>
    <w:p>
      <w:pPr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</w:r>
      <w:r>
        <w:rPr>
          <w:sz w:val="28"/>
          <w:szCs w:val="12"/>
        </w:rPr>
      </w:r>
    </w:p>
    <w:p>
      <w:pPr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  <w:t xml:space="preserve">Министр                                                                                     </w:t>
      </w:r>
      <w:r>
        <w:rPr>
          <w:sz w:val="28"/>
          <w:szCs w:val="12"/>
        </w:rPr>
        <w:t xml:space="preserve">                  Э.А.</w:t>
      </w:r>
      <w:r>
        <w:rPr>
          <w:sz w:val="28"/>
          <w:szCs w:val="12"/>
        </w:rPr>
        <w:t xml:space="preserve"> </w:t>
      </w:r>
      <w:r>
        <w:rPr>
          <w:sz w:val="28"/>
          <w:szCs w:val="12"/>
        </w:rPr>
        <w:t xml:space="preserve">Зарипова</w:t>
      </w:r>
      <w:r>
        <w:rPr>
          <w:sz w:val="28"/>
          <w:szCs w:val="12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Утвержден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приказом Министерства труда, занятости</w:t>
      </w:r>
      <w:r>
        <w:rPr>
          <w:bCs/>
          <w:sz w:val="28"/>
          <w:szCs w:val="28"/>
        </w:rPr>
        <w:t xml:space="preserve"> и социальной защиты Республики Татарстан </w:t>
      </w:r>
      <w:r>
        <w:rPr>
          <w:bCs/>
          <w:sz w:val="28"/>
          <w:szCs w:val="28"/>
        </w:rPr>
      </w:r>
    </w:p>
    <w:p>
      <w:pPr>
        <w:ind w:left="5103"/>
        <w:jc w:val="both"/>
        <w:rPr>
          <w:bCs/>
          <w:sz w:val="28"/>
          <w:szCs w:val="28"/>
        </w:rPr>
        <w:outlineLvl w:val="1"/>
      </w:pPr>
      <w:r/>
      <w:bookmarkStart w:id="0" w:name="_GoBack"/>
      <w:r/>
      <w:bookmarkEnd w:id="0"/>
      <w:r>
        <w:rPr>
          <w:bCs/>
          <w:sz w:val="28"/>
          <w:szCs w:val="28"/>
        </w:rPr>
        <w:t xml:space="preserve">от ________ 20___ года №____</w:t>
      </w:r>
      <w:r>
        <w:rPr>
          <w:sz w:val="28"/>
          <w:szCs w:val="28"/>
        </w:rPr>
        <w:t xml:space="preserve">  </w:t>
      </w:r>
      <w:r>
        <w:rPr>
          <w:bCs/>
          <w:sz w:val="28"/>
          <w:szCs w:val="28"/>
        </w:rPr>
      </w:r>
    </w:p>
    <w:p>
      <w:pPr>
        <w:pStyle w:val="636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  <w:szCs w:val="12"/>
        </w:rPr>
        <w:t xml:space="preserve">Порядок установления квоты для приема на работу участников специальной военной операции</w:t>
      </w:r>
      <w:r>
        <w:rPr>
          <w:b/>
          <w:sz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trike/>
          <w:sz w:val="28"/>
        </w:rPr>
      </w:pPr>
      <w:r>
        <w:rPr>
          <w:strike/>
          <w:sz w:val="28"/>
        </w:rPr>
      </w:r>
      <w:r>
        <w:rPr>
          <w:strike/>
          <w:sz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Настоящий Порядок разработан в соответствии с Законом Республики Татарстан</w:t>
      </w:r>
      <w:r>
        <w:rPr>
          <w:sz w:val="28"/>
        </w:rPr>
        <w:t xml:space="preserve"> от 25 апреля 2026 года</w:t>
      </w:r>
      <w:r>
        <w:rPr>
          <w:sz w:val="28"/>
        </w:rPr>
        <w:t xml:space="preserve"> № 23-ЗРТ «О квотировании рабочих мест для приема на работу участников специа</w:t>
      </w:r>
      <w:r>
        <w:rPr>
          <w:sz w:val="28"/>
        </w:rPr>
        <w:t xml:space="preserve">льной военной операции» </w:t>
      </w:r>
      <w:r>
        <w:rPr>
          <w:sz w:val="28"/>
        </w:rPr>
        <w:t xml:space="preserve">и определяет порядок квотирования рабочих мест для приема на работу участников специальной военной операции.</w:t>
      </w:r>
      <w:r>
        <w:rPr>
          <w:sz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Основные термин</w:t>
      </w:r>
      <w:r>
        <w:rPr>
          <w:sz w:val="28"/>
        </w:rPr>
        <w:t xml:space="preserve">ы</w:t>
      </w:r>
      <w:r>
        <w:rPr>
          <w:sz w:val="28"/>
        </w:rPr>
        <w:t xml:space="preserve"> и понятия, используемые в настоящем Порядке, применяются в том же значении, что и в Законе Республики Татарстан от 25 апреля 2026 года № 23-ЗРТ «О квотировании рабочих мест для приема на работу участников специальной военной операции».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Работодатели, которые осуществляют деятельность на территории Республики Татарстан и численность работников которых превышает 200 человек, </w:t>
      </w:r>
      <w:r>
        <w:rPr>
          <w:sz w:val="28"/>
        </w:rPr>
        <w:t xml:space="preserve">определяют количество квотируемых рабочих мест для приема на работу участников специальной военной операции</w:t>
      </w:r>
      <w:r>
        <w:rPr>
          <w:sz w:val="28"/>
          <w:szCs w:val="28"/>
        </w:rPr>
        <w:t xml:space="preserve"> на первое</w:t>
      </w:r>
      <w:r>
        <w:rPr>
          <w:sz w:val="28"/>
          <w:szCs w:val="28"/>
        </w:rPr>
        <w:t xml:space="preserve"> число первого месяца каждого квартала исходя из среднесписочной численности работников за предыдущий квартал.</w:t>
      </w:r>
      <w:r>
        <w:rPr>
          <w:sz w:val="28"/>
        </w:rPr>
      </w:r>
    </w:p>
    <w:p>
      <w:pPr>
        <w:pStyle w:val="645"/>
        <w:ind w:firstLine="567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При исчислении количества квотируемых рабочих мест для приема на работу участников специальной военной операции учитываются количество</w:t>
      </w:r>
      <w:r>
        <w:rPr>
          <w:sz w:val="28"/>
          <w:szCs w:val="28"/>
        </w:rPr>
        <w:t xml:space="preserve"> рабочих мест, занятых работниками, отнесенными к категории участников специальной военной операции, и количество рабочих мест, сохраненных за участниками специальной военной операции на период приостановления действия трудовых договоров в соответствии со </w:t>
      </w:r>
      <w:hyperlink r:id="rId9" w:tooltip="https://login.consultant.ru/link/?req=doc&amp;base=LAW&amp;n=519026&amp;dst=3238&amp;field=134&amp;date=22.05.2026" w:history="1">
        <w:r>
          <w:rPr>
            <w:rStyle w:val="646"/>
            <w:color w:val="auto"/>
            <w:sz w:val="28"/>
            <w:szCs w:val="28"/>
            <w:u w:val="none"/>
          </w:rPr>
          <w:t xml:space="preserve">статьей 351</w:t>
        </w:r>
        <w:r>
          <w:rPr>
            <w:rStyle w:val="646"/>
            <w:color w:val="auto"/>
            <w:sz w:val="28"/>
            <w:szCs w:val="28"/>
            <w:u w:val="none"/>
            <w:vertAlign w:val="superscript"/>
          </w:rPr>
          <w:t xml:space="preserve">7</w:t>
        </w:r>
      </w:hyperlink>
      <w:r>
        <w:rPr>
          <w:sz w:val="28"/>
          <w:szCs w:val="28"/>
        </w:rPr>
        <w:t xml:space="preserve"> Трудового кодекса Российской Федерации</w:t>
      </w:r>
      <w:r>
        <w:t xml:space="preserve">. </w:t>
      </w:r>
      <w:r>
        <w:rPr>
          <w:sz w:val="28"/>
          <w:szCs w:val="28"/>
        </w:rPr>
      </w:r>
    </w:p>
    <w:p>
      <w:pPr>
        <w:pStyle w:val="645"/>
        <w:ind w:firstLine="567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расчете </w:t>
      </w:r>
      <w:r>
        <w:rPr>
          <w:sz w:val="28"/>
          <w:szCs w:val="28"/>
        </w:rPr>
        <w:t xml:space="preserve">среднесписочной численности работников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учитываю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45"/>
        <w:ind w:firstLine="851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работник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представительств, филиалов и иных обособленных структурных подразделений работодателя, расположенных в других субъектах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5"/>
        <w:ind w:firstLine="851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в орган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местн</w:t>
      </w:r>
      <w:r>
        <w:rPr>
          <w:sz w:val="28"/>
          <w:szCs w:val="28"/>
        </w:rPr>
        <w:t xml:space="preserve">ог</w:t>
      </w:r>
      <w:r>
        <w:rPr>
          <w:sz w:val="28"/>
          <w:szCs w:val="28"/>
        </w:rPr>
        <w:t xml:space="preserve">о самоуправления, организациях, </w:t>
      </w:r>
      <w:r>
        <w:rPr>
          <w:sz w:val="28"/>
          <w:szCs w:val="28"/>
        </w:rPr>
        <w:t xml:space="preserve">замещение которых в соответствии с федеральными законами и иными нормативными правовыми актами Российской Федерации, законами Республики Татарстан и ины</w:t>
      </w:r>
      <w:r>
        <w:rPr>
          <w:sz w:val="28"/>
          <w:szCs w:val="28"/>
        </w:rPr>
        <w:t xml:space="preserve">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назначения на должность или утверждения в должности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5"/>
        <w:ind w:firstLine="567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реднесписочн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аходящи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ся на территории Республики Татарстан представительств, филиал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и ины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обособленны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структурны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работодателя, расположенного в другом субъекте Российской Федерации, </w:t>
      </w:r>
      <w:r>
        <w:rPr>
          <w:sz w:val="28"/>
          <w:szCs w:val="28"/>
        </w:rPr>
        <w:t xml:space="preserve">определяется исходя из </w:t>
      </w:r>
      <w:r>
        <w:rPr>
          <w:sz w:val="28"/>
          <w:szCs w:val="28"/>
        </w:rPr>
        <w:t xml:space="preserve">численност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работников таких представительств, филиалов и иных обособленных структурных подразделений работодателя. </w:t>
      </w:r>
      <w:r>
        <w:rPr>
          <w:sz w:val="28"/>
          <w:szCs w:val="28"/>
        </w:rPr>
      </w:r>
    </w:p>
    <w:p>
      <w:pPr>
        <w:pStyle w:val="645"/>
        <w:ind w:firstLine="567"/>
        <w:jc w:val="both"/>
        <w:spacing w:before="0" w:beforeAutospacing="0" w:after="0" w:afterAutospacing="0" w:line="288" w:lineRule="atLeast"/>
        <w:rPr>
          <w:sz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Работодатель </w:t>
      </w:r>
      <w:r>
        <w:rPr>
          <w:sz w:val="28"/>
          <w:szCs w:val="28"/>
        </w:rPr>
        <w:t xml:space="preserve">на первое </w:t>
      </w:r>
      <w:r>
        <w:rPr>
          <w:sz w:val="28"/>
          <w:szCs w:val="28"/>
        </w:rPr>
        <w:t xml:space="preserve">число первого месяца к</w:t>
      </w:r>
      <w:r>
        <w:rPr>
          <w:sz w:val="28"/>
          <w:szCs w:val="28"/>
        </w:rPr>
        <w:t xml:space="preserve">аждого квартала по результатам </w:t>
      </w:r>
      <w:r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 xml:space="preserve">количеств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квотируемых</w:t>
      </w:r>
      <w:r>
        <w:rPr>
          <w:sz w:val="28"/>
          <w:szCs w:val="28"/>
        </w:rPr>
        <w:t xml:space="preserve"> у него </w:t>
      </w:r>
      <w:r>
        <w:rPr>
          <w:sz w:val="28"/>
          <w:szCs w:val="28"/>
        </w:rPr>
        <w:t xml:space="preserve">рабочих мест</w:t>
      </w:r>
      <w:r>
        <w:rPr>
          <w:sz w:val="28"/>
        </w:rPr>
        <w:t xml:space="preserve"> для приема на работу участников специальной военной операции</w:t>
      </w:r>
      <w:r>
        <w:rPr>
          <w:sz w:val="28"/>
          <w:szCs w:val="28"/>
        </w:rPr>
        <w:t xml:space="preserve"> принимает локальный </w:t>
      </w:r>
      <w:r>
        <w:rPr>
          <w:sz w:val="28"/>
          <w:szCs w:val="28"/>
        </w:rPr>
        <w:t xml:space="preserve">акт, устанавливающий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квотируемых рабочих мест</w:t>
      </w:r>
      <w:r>
        <w:rPr>
          <w:sz w:val="28"/>
        </w:rPr>
        <w:t xml:space="preserve"> для приема на работу участников специаль</w:t>
      </w:r>
      <w:r>
        <w:rPr>
          <w:sz w:val="28"/>
        </w:rPr>
        <w:t xml:space="preserve">ной военной операции,</w:t>
      </w:r>
      <w:r>
        <w:rPr>
          <w:sz w:val="28"/>
        </w:rPr>
        <w:t xml:space="preserve"> а также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содержащий</w:t>
      </w:r>
      <w:r>
        <w:rPr>
          <w:sz w:val="28"/>
          <w:szCs w:val="28"/>
        </w:rPr>
        <w:t xml:space="preserve"> сведения о создаваемых или выделяемых рабочих местах для трудоустройства участников специальной военной операции</w:t>
      </w:r>
      <w:r>
        <w:rPr>
          <w:sz w:val="28"/>
        </w:rPr>
        <w:t xml:space="preserve"> </w:t>
      </w:r>
      <w:r>
        <w:rPr>
          <w:sz w:val="28"/>
        </w:rPr>
        <w:t xml:space="preserve">(далее – локальный </w:t>
      </w:r>
      <w:r>
        <w:rPr>
          <w:sz w:val="28"/>
        </w:rPr>
        <w:t xml:space="preserve">акт об установлении квоты)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645"/>
        <w:ind w:firstLine="567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случае, если </w:t>
      </w:r>
      <w:r>
        <w:rPr>
          <w:sz w:val="28"/>
          <w:szCs w:val="28"/>
        </w:rPr>
        <w:t xml:space="preserve">работод</w:t>
      </w:r>
      <w:r>
        <w:rPr>
          <w:sz w:val="28"/>
          <w:szCs w:val="28"/>
        </w:rPr>
        <w:t xml:space="preserve">ателем планируе</w:t>
      </w:r>
      <w:r>
        <w:rPr>
          <w:sz w:val="28"/>
          <w:szCs w:val="28"/>
        </w:rPr>
        <w:t xml:space="preserve">тся выполнение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квоты </w:t>
      </w:r>
      <w:r>
        <w:rPr>
          <w:sz w:val="28"/>
          <w:szCs w:val="28"/>
        </w:rPr>
        <w:t xml:space="preserve">путем трудоустройства  </w:t>
      </w:r>
      <w:r>
        <w:rPr>
          <w:rFonts w:eastAsiaTheme="minorEastAsia"/>
          <w:sz w:val="28"/>
          <w:szCs w:val="28"/>
        </w:rPr>
        <w:t xml:space="preserve">участник</w:t>
      </w:r>
      <w:r>
        <w:rPr>
          <w:rFonts w:eastAsiaTheme="minorEastAsia"/>
          <w:sz w:val="28"/>
          <w:szCs w:val="28"/>
        </w:rPr>
        <w:t xml:space="preserve">а</w:t>
      </w:r>
      <w:r>
        <w:rPr>
          <w:rFonts w:eastAsiaTheme="minorEastAsia"/>
          <w:sz w:val="28"/>
          <w:szCs w:val="28"/>
        </w:rPr>
        <w:t xml:space="preserve"> специальной военной операции </w:t>
      </w:r>
      <w:r>
        <w:rPr>
          <w:rFonts w:eastAsiaTheme="minorEastAsia"/>
          <w:sz w:val="28"/>
          <w:szCs w:val="28"/>
        </w:rPr>
        <w:t xml:space="preserve"> в</w:t>
      </w:r>
      <w:r>
        <w:rPr>
          <w:rFonts w:eastAsiaTheme="minorEastAsia"/>
          <w:sz w:val="28"/>
          <w:szCs w:val="28"/>
        </w:rPr>
        <w:t xml:space="preserve"> иной организаци</w:t>
      </w:r>
      <w:r>
        <w:rPr>
          <w:rFonts w:eastAsiaTheme="minorEastAsia"/>
          <w:sz w:val="28"/>
          <w:szCs w:val="28"/>
        </w:rPr>
        <w:t xml:space="preserve">и</w:t>
      </w:r>
      <w:r>
        <w:rPr>
          <w:rFonts w:eastAsiaTheme="minorEastAsia"/>
          <w:sz w:val="28"/>
          <w:szCs w:val="28"/>
        </w:rPr>
        <w:t xml:space="preserve">, включая общественные объеди</w:t>
      </w:r>
      <w:r>
        <w:rPr>
          <w:sz w:val="28"/>
          <w:szCs w:val="28"/>
        </w:rPr>
        <w:t xml:space="preserve">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 (далее – иная организация), </w:t>
      </w:r>
      <w:r>
        <w:rPr>
          <w:sz w:val="28"/>
          <w:szCs w:val="28"/>
        </w:rPr>
        <w:t xml:space="preserve">или  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 xml:space="preserve">на основании  заключаемого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ними </w:t>
      </w:r>
      <w:r>
        <w:rPr>
          <w:sz w:val="28"/>
          <w:szCs w:val="28"/>
        </w:rPr>
        <w:t xml:space="preserve">соглашени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 трудоустройстве участника специальной военной операции</w:t>
      </w:r>
      <w:r>
        <w:rPr>
          <w:sz w:val="28"/>
          <w:szCs w:val="28"/>
        </w:rPr>
        <w:t xml:space="preserve"> (далее – соглашение)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договора возмездного оказания услуг или иного договора с организацией, обеспечивающей для группы организаций выполнение к</w:t>
      </w:r>
      <w:r>
        <w:rPr>
          <w:sz w:val="28"/>
          <w:szCs w:val="28"/>
        </w:rPr>
        <w:t xml:space="preserve">воты для приема на работу участников специальной военной операции посредством заключения соглашения с иной организацией или индивидуальным предпринимателем, заключенного трудового договора между участником специальной военной операции и иной организацией, </w:t>
      </w:r>
      <w:r>
        <w:rPr>
          <w:sz w:val="28"/>
          <w:szCs w:val="28"/>
        </w:rPr>
        <w:t xml:space="preserve">индивидуальным предпринимателем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локальном </w:t>
      </w:r>
      <w:r>
        <w:rPr>
          <w:sz w:val="28"/>
          <w:szCs w:val="28"/>
        </w:rPr>
        <w:t xml:space="preserve">акте об</w:t>
      </w:r>
      <w:r>
        <w:rPr>
          <w:sz w:val="28"/>
          <w:szCs w:val="28"/>
        </w:rPr>
        <w:t xml:space="preserve"> устан</w:t>
      </w:r>
      <w:r>
        <w:rPr>
          <w:sz w:val="28"/>
          <w:szCs w:val="28"/>
        </w:rPr>
        <w:t xml:space="preserve">овлении квоты отражается также информация об </w:t>
      </w:r>
      <w:r>
        <w:rPr>
          <w:sz w:val="28"/>
          <w:szCs w:val="28"/>
        </w:rPr>
        <w:t xml:space="preserve">организациях </w:t>
      </w:r>
      <w:r>
        <w:rPr>
          <w:sz w:val="28"/>
          <w:szCs w:val="28"/>
        </w:rPr>
        <w:t xml:space="preserve">(ин</w:t>
      </w:r>
      <w:r>
        <w:rPr>
          <w:sz w:val="28"/>
          <w:szCs w:val="28"/>
        </w:rPr>
        <w:t xml:space="preserve">дивидуальных предпринимателях), </w:t>
      </w:r>
      <w:r>
        <w:rPr>
          <w:sz w:val="28"/>
          <w:szCs w:val="28"/>
        </w:rPr>
        <w:t xml:space="preserve">с которыми заключаются соглашени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 о количестве</w:t>
      </w:r>
      <w:r>
        <w:rPr>
          <w:sz w:val="28"/>
          <w:szCs w:val="28"/>
        </w:rPr>
        <w:t xml:space="preserve"> рабочих мест, трудоустройства </w:t>
      </w:r>
      <w:r>
        <w:rPr>
          <w:sz w:val="28"/>
          <w:szCs w:val="28"/>
        </w:rPr>
        <w:t xml:space="preserve">на которые будет осуществляться в счет выполнения квоты.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927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36"/>
        <w:ind w:left="927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36"/>
        <w:ind w:left="927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6">
    <w:name w:val="List Paragraph"/>
    <w:basedOn w:val="631"/>
    <w:uiPriority w:val="34"/>
    <w:qFormat/>
    <w:pPr>
      <w:contextualSpacing/>
      <w:ind w:left="720"/>
    </w:pPr>
  </w:style>
  <w:style w:type="character" w:styleId="637">
    <w:name w:val="annotation reference"/>
    <w:basedOn w:val="632"/>
    <w:uiPriority w:val="99"/>
    <w:semiHidden/>
    <w:unhideWhenUsed/>
    <w:rPr>
      <w:sz w:val="16"/>
      <w:szCs w:val="16"/>
    </w:rPr>
  </w:style>
  <w:style w:type="paragraph" w:styleId="638">
    <w:name w:val="annotation text"/>
    <w:basedOn w:val="631"/>
    <w:link w:val="639"/>
    <w:uiPriority w:val="99"/>
    <w:semiHidden/>
    <w:unhideWhenUsed/>
    <w:rPr>
      <w:sz w:val="20"/>
      <w:szCs w:val="20"/>
    </w:rPr>
  </w:style>
  <w:style w:type="character" w:styleId="639" w:customStyle="1">
    <w:name w:val="Текст примечания Знак"/>
    <w:basedOn w:val="632"/>
    <w:link w:val="63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0">
    <w:name w:val="annotation subject"/>
    <w:basedOn w:val="638"/>
    <w:next w:val="638"/>
    <w:link w:val="641"/>
    <w:uiPriority w:val="99"/>
    <w:semiHidden/>
    <w:unhideWhenUsed/>
    <w:rPr>
      <w:b/>
      <w:bCs/>
    </w:rPr>
  </w:style>
  <w:style w:type="character" w:styleId="641" w:customStyle="1">
    <w:name w:val="Тема примечания Знак"/>
    <w:basedOn w:val="639"/>
    <w:link w:val="64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642">
    <w:name w:val="Balloon Text"/>
    <w:basedOn w:val="631"/>
    <w:link w:val="6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3" w:customStyle="1">
    <w:name w:val="Текст выноски Знак"/>
    <w:basedOn w:val="632"/>
    <w:link w:val="6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4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>
    <w:name w:val="Normal (Web)"/>
    <w:basedOn w:val="631"/>
    <w:uiPriority w:val="99"/>
    <w:unhideWhenUsed/>
    <w:qFormat/>
    <w:pPr>
      <w:spacing w:before="100" w:beforeAutospacing="1" w:after="100" w:afterAutospacing="1"/>
    </w:pPr>
  </w:style>
  <w:style w:type="character" w:styleId="646">
    <w:name w:val="Hyperlink"/>
    <w:basedOn w:val="632"/>
    <w:uiPriority w:val="99"/>
    <w:unhideWhenUsed/>
    <w:rPr>
      <w:color w:val="0000ff"/>
      <w:u w:val="single"/>
    </w:rPr>
  </w:style>
  <w:style w:type="paragraph" w:styleId="647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648">
    <w:name w:val="FollowedHyperlink"/>
    <w:basedOn w:val="632"/>
    <w:uiPriority w:val="99"/>
    <w:semiHidden/>
    <w:unhideWhenUsed/>
    <w:rPr>
      <w:color w:val="954f72" w:themeColor="followedHyperlink"/>
      <w:u w:val="single"/>
    </w:rPr>
  </w:style>
  <w:style w:type="table" w:styleId="649">
    <w:name w:val="Table Grid"/>
    <w:basedOn w:val="6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519026&amp;dst=3238&amp;field=134&amp;date=22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kasimova.gulnara</cp:lastModifiedBy>
  <cp:revision>6</cp:revision>
  <dcterms:created xsi:type="dcterms:W3CDTF">2026-05-29T10:35:00Z</dcterms:created>
  <dcterms:modified xsi:type="dcterms:W3CDTF">2026-06-01T14:58:09Z</dcterms:modified>
</cp:coreProperties>
</file>