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right"/>
        <w:tabs>
          <w:tab w:val="left" w:pos="8647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ПРОЕКТ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contextualSpacing/>
        <w:ind w:right="15" w:firstLine="709"/>
        <w:jc w:val="center"/>
        <w:tabs>
          <w:tab w:val="left" w:pos="708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КАБИНЕТ МИНИСТРОВ РЕСПУБЛИКИ ТАТАРСТАН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right="15" w:firstLine="709"/>
        <w:jc w:val="center"/>
        <w:tabs>
          <w:tab w:val="left" w:pos="708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ПОСТАНОВЛЕНИЕ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right="15"/>
        <w:jc w:val="both"/>
        <w:tabs>
          <w:tab w:val="left" w:pos="708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 __________                                                                                           №_______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tbl>
      <w:tblPr>
        <w:tblStyle w:val="885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377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77" w:type="dxa"/>
            <w:textDirection w:val="lrTb"/>
            <w:noWrap w:val="false"/>
          </w:tcPr>
          <w:p>
            <w:pPr>
              <w:pStyle w:val="887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lang w:eastAsia="ru-RU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auto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auto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auto"/>
                <w:lang w:eastAsia="ru-RU"/>
              </w:rPr>
              <w:t xml:space="preserve"> внесении изменений в перечень показателей, предусмотренных для оценки эффективности деятельности органов местного самоуправления городских округов и муниципальных районов Республики Татарстан, включаемых в сводный доклад Республики Татарстан о результатах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auto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auto"/>
                <w:lang w:eastAsia="ru-RU"/>
              </w:rPr>
              <w:t xml:space="preserve">мониторинга эффективности деятельности органов местного самоуправления городских округов и муниципальных районов Республики Татарстан за отчетный период и их планируемых значениях на трехлетний период, распределяемых между органами исполнительной власти Ре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auto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auto"/>
                <w:lang w:eastAsia="ru-RU"/>
              </w:rPr>
              <w:t xml:space="preserve">публики Татарстан, территориальными органами федеральных органов исполнительной власти, органами местного самоуправления, утвержденный постановлением Кабинета Министров Республики Татарстан от 27.05.2013 № 355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auto"/>
                <w:lang w:eastAsia="ru-RU"/>
              </w:rPr>
              <w:t xml:space="preserve">«О подготовке сводного доклада Республики Тата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auto"/>
                <w:lang w:eastAsia="ru-RU"/>
              </w:rPr>
              <w:t xml:space="preserve">рстан о результатах мониторинга эффективности деятельности органов местного самоуправления городских округов и муниципальных районов Республики Татарстан за отчетный период и их планируемых значениях на трехлетний период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auto"/>
                <w:lang w:eastAsia="ru-RU"/>
              </w:rPr>
              <w:t xml:space="preserve">»</w:t>
            </w: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auto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lang w:eastAsia="ru-RU"/>
                <w14:ligatures w14:val="none"/>
              </w:rPr>
            </w:r>
          </w:p>
        </w:tc>
      </w:tr>
    </w:tbl>
    <w:p>
      <w:pPr>
        <w:ind w:left="0" w:right="0" w:firstLine="567"/>
        <w:jc w:val="both"/>
        <w:spacing w:after="0" w:line="240" w:lineRule="auto"/>
        <w:shd w:val="clear" w:color="auto" w:fill="ffffff"/>
        <w:widowControl w:val="off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Кабинет Министров Республики Татарстан ПОСТАНОВЛЯЕТ: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887"/>
        <w:ind w:left="0" w:right="0" w:firstLine="567"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нести в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перечень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показателей, предусмотренных для оценки эффективности</w:t>
      </w:r>
      <w:r>
        <w:rPr>
          <w:b w:val="0"/>
          <w:bCs w:val="0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деятельности органов местного самоуправления городских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округов и муниципальных районов Республики Татарстан,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включаемых в сводный доклад Республики Татарстан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о результатах мониторинга эффективности деятельности органов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мест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ного самоуправления городских округов и муниципальных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районов Республики Татарстан за отчетный период и их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планируемых значениях на трехлетний период о результатах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мониторинга эффективности деятельности органов местного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самоуправления городских округов и муниципальных районов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Республики Татарстан за отчетный период и их планируемых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значениях на трехлетний период, распределяемых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между органами исполните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льной власти Республики Татарстан,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территориальными органами федеральных органов исполнительной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власти, органами местного самоуправления,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утвержденный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постановлением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Кабинета Министров Республики Татарстан от 27.05.2013 № 355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 «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О подготовке сводного доклада Республики Татарстан о результатах мониторинга эффективности деятельности органов местного самоуправления городских округов и муниципальных районов Республики Татарстан за отчетный период и их планируемых значениях на трехлет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ний период»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 (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с изменениями, внесенными постановлениями Кабинета Министров Республики Татарстан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от 24.02.2015 № </w:t>
      </w:r>
      <w:hyperlink r:id="rId11" w:tooltip="Постановление КМ РТ от 24.02.2015 N 109 &quot;О внесении изменений в Постановление Кабинета Министров Республики Татарстан от 27.05.2013 N 355 &quot;О подготовке сводного доклада Республики Татарстан о результатах мониторинга эффективности деятельности органов местного самоуправления городских округов и муниципальных районов Республики Татарстан за отчетный период и их планируемых значениях на трехлетний период&quot; {КонсультантПлюс}" w:history="1">
        <w:r>
          <w:rPr>
            <w:rFonts w:ascii="Times New Roman" w:hAnsi="Times New Roman" w:eastAsia="Times New Roman" w:cs="Times New Roman"/>
            <w:b w:val="0"/>
            <w:bCs w:val="0"/>
            <w:color w:val="000000"/>
            <w:sz w:val="28"/>
            <w:szCs w:val="28"/>
            <w:highlight w:val="none"/>
          </w:rPr>
          <w:t xml:space="preserve"> 109</w:t>
        </w:r>
      </w:hyperlink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, от 31.05.2017 №</w:t>
      </w:r>
      <w:hyperlink r:id="rId12" w:tooltip="Постановление КМ РТ от 31.05.2017 N 326 &quot;О внесении изменений в Постановление Кабинета Министров Республики Татарстан от 27.05.2013 N 355 &quot;О подготовке сводного доклада Республики Татарстан о результатах мониторинга эффективности деятельности органов местного самоуправления городских округов и муниципальных районов Республики Татарстан за отчетный период и их планируемых значениях на трехлетний период&quot; {КонсультантПлюс}" w:history="1">
        <w:r>
          <w:rPr>
            <w:rFonts w:ascii="Times New Roman" w:hAnsi="Times New Roman" w:eastAsia="Times New Roman" w:cs="Times New Roman"/>
            <w:b w:val="0"/>
            <w:bCs w:val="0"/>
            <w:color w:val="000000"/>
            <w:sz w:val="28"/>
            <w:szCs w:val="28"/>
            <w:highlight w:val="none"/>
          </w:rPr>
          <w:t xml:space="preserve"> 326</w:t>
        </w:r>
      </w:hyperlink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, от 01.12.2018 №</w:t>
      </w:r>
      <w:hyperlink r:id="rId13" w:tooltip="Постановление КМ РТ от 01.12.2018 N 1074 &quot;О внесении изменений в постановление Кабинета Министров Республики Татарстан от 27.05.2013 N 355 &quot;О подготовке сводного доклада Республики Татарстан о результатах мониторинга эффективности деятельности органов местного самоуправления городских округов и муниципальных районов Республики Татарстан за отчетный период и их планируемых значениях на трехлетний период&quot; {КонсультантПлюс}" w:history="1">
        <w:r>
          <w:rPr>
            <w:rFonts w:ascii="Times New Roman" w:hAnsi="Times New Roman" w:eastAsia="Times New Roman" w:cs="Times New Roman"/>
            <w:b w:val="0"/>
            <w:bCs w:val="0"/>
            <w:color w:val="000000"/>
            <w:sz w:val="28"/>
            <w:szCs w:val="28"/>
            <w:highlight w:val="none"/>
          </w:rPr>
          <w:t xml:space="preserve"> 1074</w:t>
        </w:r>
      </w:hyperlink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)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, следующие изменения: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r>
    </w:p>
    <w:p>
      <w:pPr>
        <w:ind w:left="0" w:right="0" w:firstLine="567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пункт 26 признать утратившим силу;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пункт 26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признать утратившим силу;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пункт 36 признать утратившим силу.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p>
      <w:pPr>
        <w:ind w:firstLine="54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Премьер-министр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еспублики Татарстан</w:t>
      </w:r>
      <w:r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А.В.Песошин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ПОЯСНИТЕЛЬНАЯ ЗАПИСКА</w:t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pStyle w:val="898"/>
        <w:ind w:right="-15" w:firstLine="700"/>
        <w:jc w:val="center"/>
        <w:spacing w:line="240" w:lineRule="auto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eastAsia="ru-RU"/>
        </w:rPr>
        <w:t xml:space="preserve">к проекту постановления Кабинета Министров Республики Татарстан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</w:r>
    </w:p>
    <w:p>
      <w:pPr>
        <w:pStyle w:val="887"/>
        <w:jc w:val="center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 внесении изменений в перечень показателей, предусмотренных для оценки эффективности деятельности органов местного самоуправления городских округов и муниципальных районов Республики Татарстан, включаемых в сводный доклад Республики Татарстан о результатах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мониторинга эффективности деятельности органов местного самоуправления городских округов и муниципальных районов Республики Татарстан за отчетный период и их планируемых значениях на трехлетний период, распределяемых между органами исполнительной власти Ре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публики Татарстан, территориальными органами федеральных органов исполнительной власти, органами местного самоуправления, утвержденный постановлением Кабинета Министров Республики Татарстан от 27.05.2013 № 355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«О подготовке сводного доклада Республики Тата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рстан о результатах мониторинга эффективности деятельности органов местного самоуправления городских округов и муниципальных районов Республики Татарстан за отчетный период и их планируемых значениях на трехлетний период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»</w:t>
      </w:r>
      <w:r/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  <w14:ligatures w14:val="none"/>
        </w:rPr>
      </w:r>
    </w:p>
    <w:p>
      <w:pPr>
        <w:pStyle w:val="898"/>
        <w:ind w:right="-15" w:firstLine="700"/>
        <w:jc w:val="both"/>
        <w:spacing w:line="240" w:lineRule="auto"/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eastAsia="ru-RU"/>
        </w:rPr>
      </w:r>
      <w:r/>
    </w:p>
    <w:p>
      <w:pPr>
        <w:pStyle w:val="887"/>
        <w:ind w:left="0" w:right="0" w:firstLine="567"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eastAsia="ru-RU"/>
        </w:rPr>
        <w:t xml:space="preserve">Проект постановления Кабинета Министров Республики Татарстан «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 внесении изменений в перечень показателей, предусмотренных для оценки эффективности деятельности органов местного самоуправления городских округов и муниципальных районов Республики Татарстан, включаемых в сводный доклад Республики Татарстан о результатах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мониторинга эффективности деятельности органов местного самоуправления городских округов и муниципальных районов Республики Татарстан за отчетный период и их планируемых значениях на трехлетний период, распределяемых между органами исполнительной власти Ре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публики Татарстан, территориальными органами федеральных органов исполнительной власти, органами местного самоуправления, утвержденный постановлением Кабинета Министров Республики Татарстан от 27.05.2013 № 355 «О подготовке сводного доклада Республики Тата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рстан о результатах мониторинга эффективности деятельности органов местного самоуправления городских округов и муниципальных районов Республики Татарстан за отчетный период и их планируемых значениях на трехлетний период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с изменениями, внесенными постановлениями Кабинета Министров Республики Татарстан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от 24.02.2015 № </w:t>
      </w:r>
      <w:hyperlink r:id="rId14" w:tooltip="Постановление КМ РТ от 24.02.2015 N 109 &quot;О внесении изменений в Постановление Кабинета Министров Республики Татарстан от 27.05.2013 N 355 &quot;О подготовке сводного доклада Республики Татарстан о результатах мониторинга эффективности деятельности органов местного самоуправления городских округов и муниципальных районов Республики Татарстан за отчетный период и их планируемых значениях на трехлетний период&quot; {КонсультантПлюс}" w:history="1">
        <w:r>
          <w:rPr>
            <w:rFonts w:ascii="Times New Roman" w:hAnsi="Times New Roman" w:eastAsia="Times New Roman" w:cs="Times New Roman"/>
            <w:b w:val="0"/>
            <w:bCs w:val="0"/>
            <w:color w:val="000000"/>
            <w:sz w:val="28"/>
            <w:szCs w:val="28"/>
            <w:shd w:val="clear" w:color="auto" w:fill="auto"/>
            <w:lang w:eastAsia="ru-RU"/>
          </w:rPr>
          <w:t xml:space="preserve"> 109</w:t>
        </w:r>
      </w:hyperlink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, от 31.05.2017 №</w:t>
      </w:r>
      <w:hyperlink r:id="rId15" w:tooltip="Постановление КМ РТ от 31.05.2017 N 326 &quot;О внесении изменений в Постановление Кабинета Министров Республики Татарстан от 27.05.2013 N 355 &quot;О подготовке сводного доклада Республики Татарстан о результатах мониторинга эффективности деятельности органов местного самоуправления городских округов и муниципальных районов Республики Татарстан за отчетный период и их планируемых значениях на трехлетний период&quot; {КонсультантПлюс}" w:history="1">
        <w:r>
          <w:rPr>
            <w:rFonts w:ascii="Times New Roman" w:hAnsi="Times New Roman" w:eastAsia="Times New Roman" w:cs="Times New Roman"/>
            <w:b w:val="0"/>
            <w:bCs w:val="0"/>
            <w:color w:val="000000"/>
            <w:sz w:val="28"/>
            <w:szCs w:val="28"/>
            <w:shd w:val="clear" w:color="auto" w:fill="auto"/>
            <w:lang w:eastAsia="ru-RU"/>
          </w:rPr>
          <w:t xml:space="preserve"> 326</w:t>
        </w:r>
      </w:hyperlink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, от 01.12.2018 №</w:t>
      </w:r>
      <w:hyperlink r:id="rId16" w:tooltip="Постановление КМ РТ от 01.12.2018 N 1074 &quot;О внесении изменений в постановление Кабинета Министров Республики Татарстан от 27.05.2013 N 355 &quot;О подготовке сводного доклада Республики Татарстан о результатах мониторинга эффективности деятельности органов местного самоуправления городских округов и муниципальных районов Республики Татарстан за отчетный период и их планируемых значениях на трехлетний период&quot; {КонсультантПлюс}" w:history="1">
        <w:r>
          <w:rPr>
            <w:rFonts w:ascii="Times New Roman" w:hAnsi="Times New Roman" w:eastAsia="Times New Roman" w:cs="Times New Roman"/>
            <w:b w:val="0"/>
            <w:bCs w:val="0"/>
            <w:color w:val="000000"/>
            <w:sz w:val="28"/>
            <w:szCs w:val="28"/>
            <w:shd w:val="clear" w:color="auto" w:fill="auto"/>
            <w:lang w:eastAsia="ru-RU"/>
          </w:rPr>
          <w:t xml:space="preserve"> 1074</w:t>
        </w:r>
      </w:hyperlink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 разработан в связи с принятием Закона Республики Татарстан от 23.12.2023 №131-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eastAsia="ru-RU"/>
        </w:rPr>
        <w:t xml:space="preserve">ЗРТ «О пе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eastAsia="ru-RU"/>
        </w:rPr>
        <w:t xml:space="preserve">рераспределении полномочий между органами местного самоуправления муниципальных образований Республики Татарстан и органами государственной власти Республики Татарстан в области градостроительной деятельности».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  <w14:ligatures w14:val="none"/>
        </w:rPr>
      </w:r>
    </w:p>
    <w:p>
      <w:pPr>
        <w:pStyle w:val="898"/>
        <w:ind w:left="0" w:right="0" w:firstLine="567"/>
        <w:jc w:val="both"/>
        <w:spacing w:line="240" w:lineRule="auto"/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eastAsia="ru-RU"/>
        </w:rPr>
        <w:t xml:space="preserve"> соответствии с вышеуказанным законом, Министерство строительства, архитектуры и жилищно-коммунального хозяйства Республики Татарстан осуществляет полномочия органов местного самоуправления поселения в области градостроительной деятельности по подготовке и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eastAsia="ru-RU"/>
        </w:rPr>
        <w:t xml:space="preserve"> утверждению проектов схем территориального планирования муниципальных районов, по выдаче разрешения на строительство, разрешения на ввод объектов в эксплуатацию при осуществлении строительства, реконструкции объектов капитального строительства.</w:t>
      </w:r>
      <w:r/>
    </w:p>
    <w:p>
      <w:pPr>
        <w:pStyle w:val="898"/>
        <w:ind w:left="0" w:right="0" w:firstLine="567"/>
        <w:jc w:val="both"/>
        <w:spacing w:line="240" w:lineRule="auto"/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eastAsia="ru-RU"/>
        </w:rPr>
        <w:t xml:space="preserve">редлагаемые изменения направлены на приведение постановления Кабинета Министров Республики Татарстан в соответствие с перераспределением полномочий между органами местного самоуправления и органами государственной власти Республики Татарстан в области град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eastAsia="ru-RU"/>
        </w:rPr>
        <w:t xml:space="preserve">остроительной деятельности.</w:t>
      </w:r>
      <w:r/>
    </w:p>
    <w:p>
      <w:pPr>
        <w:pStyle w:val="898"/>
        <w:ind w:left="0" w:right="0" w:firstLine="567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Для городского округа Казань Республики Татарстан оценка показателя, предусмотренного пунктом 36 «Наличие в городском округе (муниципальном районе) утвержденного генерального плана городского округа (схемы территориального планирования муниципаль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ного района)», не требуется в связи с наличием утвержденного генерального плана.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  <w14:ligatures w14:val="none"/>
        </w:rPr>
      </w:r>
    </w:p>
    <w:p>
      <w:pPr>
        <w:ind w:left="0" w:right="0" w:firstLine="567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14:ligatures w14:val="non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eastAsia="ru-RU"/>
        </w:rPr>
        <w:t xml:space="preserve">Оценка регулирующего воздействия не требуется.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14:ligatures w14:val="none"/>
        </w:rPr>
      </w:r>
      <w:r>
        <w:rPr>
          <w:rFonts w:ascii="Times New Roman" w:hAnsi="Times New Roman" w:cs="Times New Roman"/>
          <w:sz w:val="28"/>
          <w:szCs w:val="28"/>
          <w:shd w:val="clear" w:color="auto" w:fill="ffffff"/>
          <w14:ligatures w14:val="none"/>
        </w:rPr>
      </w:r>
    </w:p>
    <w:p>
      <w:pPr>
        <w:ind w:left="0" w:right="0" w:firstLine="567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 был размещен на информационном ресурсе для размещения проектов нормативных правовых актов в целях проведения их независимой антикоррупционной экспертизы и общественного обсуждения (</w:t>
      </w:r>
      <w:hyperlink r:id="rId17" w:tooltip="http://tatarstan.ru/regulation)/" w:history="1">
        <w:r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http://tatarstan.ru/regulation)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Заключений по результатам проведения независимой антикоррупционной экспертизы проекта постановления не поступило.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898"/>
        <w:ind w:left="0" w:right="0" w:firstLine="567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eastAsia="ru-RU"/>
        </w:rPr>
        <w:t xml:space="preserve">Принятие данного постановления Кабинета Министров Республики Татарстан не потребует дополнительного финансирования из бюджета Республики Татарстан.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</w:r>
    </w:p>
    <w:p>
      <w:pPr>
        <w:ind w:left="914" w:right="457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40" w:lineRule="auto"/>
      </w:pPr>
      <w:r/>
      <w:r/>
    </w:p>
    <w:p>
      <w:pPr>
        <w:ind w:firstLine="709"/>
        <w:jc w:val="right"/>
        <w:spacing w:after="0" w:line="240" w:lineRule="auto"/>
        <w:rPr>
          <w:sz w:val="24"/>
          <w:szCs w:val="24"/>
        </w:rPr>
      </w:pPr>
      <w:r/>
      <w:bookmarkStart w:id="0" w:name="_GoBack"/>
      <w:r/>
      <w:bookmarkEnd w:id="0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righ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righ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righ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righ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righ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righ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even" r:id="rId9"/>
      <w:footnotePr/>
      <w:endnotePr/>
      <w:type w:val="nextPage"/>
      <w:pgSz w:w="11906" w:h="16838" w:orient="portrait"/>
      <w:pgMar w:top="1134" w:right="850" w:bottom="1134" w:left="156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right="77"/>
      <w:jc w:val="center"/>
      <w:spacing w:after="0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4</w:t>
    </w:r>
    <w: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83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55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27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99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71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43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15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87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81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53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25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97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69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41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13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85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83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55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27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99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71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43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15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87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83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55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27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99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71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43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15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87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915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6">
    <w:multiLevelType w:val="hybridMultilevel"/>
    <w:lvl w:ilvl="0">
      <w:start w:val="19"/>
      <w:numFmt w:val="decimal"/>
      <w:isLgl w:val="false"/>
      <w:suff w:val="tab"/>
      <w:lvlText w:val="%1."/>
      <w:lvlJc w:val="left"/>
      <w:pPr>
        <w:ind w:left="915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80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52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24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96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68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40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12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84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79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51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23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95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67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39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11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83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79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51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23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95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67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39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11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83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</w:abstractNum>
  <w:abstractNum w:abstractNumId="11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83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55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27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99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71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43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15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87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21"/>
      <w:numFmt w:val="decimal"/>
      <w:isLgl w:val="false"/>
      <w:suff w:val="tab"/>
      <w:lvlText w:val="%1."/>
      <w:lvlJc w:val="left"/>
      <w:pPr>
        <w:ind w:left="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7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5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2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94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66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3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1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8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4">
    <w:multiLevelType w:val="hybridMultilevel"/>
    <w:lvl w:ilvl="0">
      <w:start w:val="22"/>
      <w:numFmt w:val="decimal"/>
      <w:isLgl w:val="false"/>
      <w:suff w:val="tab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15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8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5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2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9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6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4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1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8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6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83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55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27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99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71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43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15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87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7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15"/>
  </w:num>
  <w:num w:numId="6">
    <w:abstractNumId w:val="16"/>
  </w:num>
  <w:num w:numId="7">
    <w:abstractNumId w:val="3"/>
  </w:num>
  <w:num w:numId="8">
    <w:abstractNumId w:val="1"/>
  </w:num>
  <w:num w:numId="9">
    <w:abstractNumId w:val="13"/>
  </w:num>
  <w:num w:numId="10">
    <w:abstractNumId w:val="0"/>
  </w:num>
  <w:num w:numId="11">
    <w:abstractNumId w:val="2"/>
  </w:num>
  <w:num w:numId="12">
    <w:abstractNumId w:val="11"/>
  </w:num>
  <w:num w:numId="13">
    <w:abstractNumId w:val="4"/>
  </w:num>
  <w:num w:numId="14">
    <w:abstractNumId w:val="6"/>
  </w:num>
  <w:num w:numId="15">
    <w:abstractNumId w:val="14"/>
  </w:num>
  <w:num w:numId="16">
    <w:abstractNumId w:val="17"/>
  </w:num>
  <w:num w:numId="17">
    <w:abstractNumId w:val="5"/>
  </w:num>
  <w:num w:numId="18">
    <w:abstractNumId w:val="9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6">
    <w:name w:val="Heading 1"/>
    <w:basedOn w:val="880"/>
    <w:next w:val="880"/>
    <w:link w:val="70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7">
    <w:name w:val="Heading 1 Char"/>
    <w:basedOn w:val="881"/>
    <w:link w:val="706"/>
    <w:uiPriority w:val="9"/>
    <w:rPr>
      <w:rFonts w:ascii="Arial" w:hAnsi="Arial" w:eastAsia="Arial" w:cs="Arial"/>
      <w:sz w:val="40"/>
      <w:szCs w:val="40"/>
    </w:rPr>
  </w:style>
  <w:style w:type="paragraph" w:styleId="708">
    <w:name w:val="Heading 2"/>
    <w:basedOn w:val="880"/>
    <w:next w:val="880"/>
    <w:link w:val="70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9">
    <w:name w:val="Heading 2 Char"/>
    <w:basedOn w:val="881"/>
    <w:link w:val="708"/>
    <w:uiPriority w:val="9"/>
    <w:rPr>
      <w:rFonts w:ascii="Arial" w:hAnsi="Arial" w:eastAsia="Arial" w:cs="Arial"/>
      <w:sz w:val="34"/>
    </w:rPr>
  </w:style>
  <w:style w:type="paragraph" w:styleId="710">
    <w:name w:val="Heading 3"/>
    <w:basedOn w:val="880"/>
    <w:next w:val="880"/>
    <w:link w:val="71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1">
    <w:name w:val="Heading 3 Char"/>
    <w:basedOn w:val="881"/>
    <w:link w:val="710"/>
    <w:uiPriority w:val="9"/>
    <w:rPr>
      <w:rFonts w:ascii="Arial" w:hAnsi="Arial" w:eastAsia="Arial" w:cs="Arial"/>
      <w:sz w:val="30"/>
      <w:szCs w:val="30"/>
    </w:rPr>
  </w:style>
  <w:style w:type="paragraph" w:styleId="712">
    <w:name w:val="Heading 4"/>
    <w:basedOn w:val="880"/>
    <w:next w:val="880"/>
    <w:link w:val="71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3">
    <w:name w:val="Heading 4 Char"/>
    <w:basedOn w:val="881"/>
    <w:link w:val="712"/>
    <w:uiPriority w:val="9"/>
    <w:rPr>
      <w:rFonts w:ascii="Arial" w:hAnsi="Arial" w:eastAsia="Arial" w:cs="Arial"/>
      <w:b/>
      <w:bCs/>
      <w:sz w:val="26"/>
      <w:szCs w:val="26"/>
    </w:rPr>
  </w:style>
  <w:style w:type="paragraph" w:styleId="714">
    <w:name w:val="Heading 5"/>
    <w:basedOn w:val="880"/>
    <w:next w:val="880"/>
    <w:link w:val="71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5">
    <w:name w:val="Heading 5 Char"/>
    <w:basedOn w:val="881"/>
    <w:link w:val="714"/>
    <w:uiPriority w:val="9"/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880"/>
    <w:next w:val="880"/>
    <w:link w:val="71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7">
    <w:name w:val="Heading 6 Char"/>
    <w:basedOn w:val="881"/>
    <w:link w:val="716"/>
    <w:uiPriority w:val="9"/>
    <w:rPr>
      <w:rFonts w:ascii="Arial" w:hAnsi="Arial" w:eastAsia="Arial" w:cs="Arial"/>
      <w:b/>
      <w:bCs/>
      <w:sz w:val="22"/>
      <w:szCs w:val="22"/>
    </w:rPr>
  </w:style>
  <w:style w:type="paragraph" w:styleId="718">
    <w:name w:val="Heading 7"/>
    <w:basedOn w:val="880"/>
    <w:next w:val="880"/>
    <w:link w:val="71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9">
    <w:name w:val="Heading 7 Char"/>
    <w:basedOn w:val="881"/>
    <w:link w:val="7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0">
    <w:name w:val="Heading 8"/>
    <w:basedOn w:val="880"/>
    <w:next w:val="880"/>
    <w:link w:val="72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1">
    <w:name w:val="Heading 8 Char"/>
    <w:basedOn w:val="881"/>
    <w:link w:val="720"/>
    <w:uiPriority w:val="9"/>
    <w:rPr>
      <w:rFonts w:ascii="Arial" w:hAnsi="Arial" w:eastAsia="Arial" w:cs="Arial"/>
      <w:i/>
      <w:iCs/>
      <w:sz w:val="22"/>
      <w:szCs w:val="22"/>
    </w:rPr>
  </w:style>
  <w:style w:type="paragraph" w:styleId="722">
    <w:name w:val="Heading 9"/>
    <w:basedOn w:val="880"/>
    <w:next w:val="880"/>
    <w:link w:val="72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3">
    <w:name w:val="Heading 9 Char"/>
    <w:basedOn w:val="881"/>
    <w:link w:val="722"/>
    <w:uiPriority w:val="9"/>
    <w:rPr>
      <w:rFonts w:ascii="Arial" w:hAnsi="Arial" w:eastAsia="Arial" w:cs="Arial"/>
      <w:i/>
      <w:iCs/>
      <w:sz w:val="21"/>
      <w:szCs w:val="21"/>
    </w:rPr>
  </w:style>
  <w:style w:type="paragraph" w:styleId="724">
    <w:name w:val="Title"/>
    <w:basedOn w:val="880"/>
    <w:next w:val="880"/>
    <w:link w:val="72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5">
    <w:name w:val="Title Char"/>
    <w:basedOn w:val="881"/>
    <w:link w:val="724"/>
    <w:uiPriority w:val="10"/>
    <w:rPr>
      <w:sz w:val="48"/>
      <w:szCs w:val="48"/>
    </w:rPr>
  </w:style>
  <w:style w:type="paragraph" w:styleId="726">
    <w:name w:val="Subtitle"/>
    <w:basedOn w:val="880"/>
    <w:next w:val="880"/>
    <w:link w:val="727"/>
    <w:uiPriority w:val="11"/>
    <w:qFormat/>
    <w:pPr>
      <w:spacing w:before="200" w:after="200"/>
    </w:pPr>
    <w:rPr>
      <w:sz w:val="24"/>
      <w:szCs w:val="24"/>
    </w:rPr>
  </w:style>
  <w:style w:type="character" w:styleId="727">
    <w:name w:val="Subtitle Char"/>
    <w:basedOn w:val="881"/>
    <w:link w:val="726"/>
    <w:uiPriority w:val="11"/>
    <w:rPr>
      <w:sz w:val="24"/>
      <w:szCs w:val="24"/>
    </w:rPr>
  </w:style>
  <w:style w:type="paragraph" w:styleId="728">
    <w:name w:val="Quote"/>
    <w:basedOn w:val="880"/>
    <w:next w:val="880"/>
    <w:link w:val="729"/>
    <w:uiPriority w:val="29"/>
    <w:qFormat/>
    <w:pPr>
      <w:ind w:left="720" w:right="720"/>
    </w:pPr>
    <w:rPr>
      <w:i/>
    </w:rPr>
  </w:style>
  <w:style w:type="character" w:styleId="729">
    <w:name w:val="Quote Char"/>
    <w:link w:val="728"/>
    <w:uiPriority w:val="29"/>
    <w:rPr>
      <w:i/>
    </w:rPr>
  </w:style>
  <w:style w:type="paragraph" w:styleId="730">
    <w:name w:val="Intense Quote"/>
    <w:basedOn w:val="880"/>
    <w:next w:val="880"/>
    <w:link w:val="73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1">
    <w:name w:val="Intense Quote Char"/>
    <w:link w:val="730"/>
    <w:uiPriority w:val="30"/>
    <w:rPr>
      <w:i/>
    </w:rPr>
  </w:style>
  <w:style w:type="paragraph" w:styleId="732">
    <w:name w:val="Header"/>
    <w:basedOn w:val="880"/>
    <w:link w:val="73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3">
    <w:name w:val="Header Char"/>
    <w:basedOn w:val="881"/>
    <w:link w:val="732"/>
    <w:uiPriority w:val="99"/>
  </w:style>
  <w:style w:type="paragraph" w:styleId="734">
    <w:name w:val="Footer"/>
    <w:basedOn w:val="880"/>
    <w:link w:val="73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5">
    <w:name w:val="Footer Char"/>
    <w:basedOn w:val="881"/>
    <w:link w:val="734"/>
    <w:uiPriority w:val="99"/>
  </w:style>
  <w:style w:type="paragraph" w:styleId="736">
    <w:name w:val="Caption"/>
    <w:basedOn w:val="880"/>
    <w:next w:val="88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7">
    <w:name w:val="Caption Char"/>
    <w:basedOn w:val="736"/>
    <w:link w:val="734"/>
    <w:uiPriority w:val="99"/>
  </w:style>
  <w:style w:type="table" w:styleId="738">
    <w:name w:val="Table Grid Light"/>
    <w:basedOn w:val="8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9">
    <w:name w:val="Plain Table 1"/>
    <w:basedOn w:val="8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0">
    <w:name w:val="Plain Table 2"/>
    <w:basedOn w:val="88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1">
    <w:name w:val="Plain Table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2">
    <w:name w:val="Plain Table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Plain Table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4">
    <w:name w:val="Grid Table 1 Light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4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6">
    <w:name w:val="Grid Table 4 - Accent 1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7">
    <w:name w:val="Grid Table 4 - Accent 2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8">
    <w:name w:val="Grid Table 4 - Accent 3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9">
    <w:name w:val="Grid Table 4 - Accent 4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0">
    <w:name w:val="Grid Table 4 - Accent 5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1">
    <w:name w:val="Grid Table 4 - Accent 6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2">
    <w:name w:val="Grid Table 5 Dark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3">
    <w:name w:val="Grid Table 5 Dark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6">
    <w:name w:val="Grid Table 5 Dark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9">
    <w:name w:val="Grid Table 6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0">
    <w:name w:val="Grid Table 6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1">
    <w:name w:val="Grid Table 6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2">
    <w:name w:val="Grid Table 6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3">
    <w:name w:val="Grid Table 6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4">
    <w:name w:val="Grid Table 6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5">
    <w:name w:val="Grid Table 6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6">
    <w:name w:val="Grid Table 7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1">
    <w:name w:val="List Table 2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2">
    <w:name w:val="List Table 2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3">
    <w:name w:val="List Table 2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4">
    <w:name w:val="List Table 2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5">
    <w:name w:val="List Table 2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6">
    <w:name w:val="List Table 2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7">
    <w:name w:val="List Table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5 Dark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6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9">
    <w:name w:val="List Table 6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0">
    <w:name w:val="List Table 6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1">
    <w:name w:val="List Table 6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2">
    <w:name w:val="List Table 6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3">
    <w:name w:val="List Table 6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4">
    <w:name w:val="List Table 6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5">
    <w:name w:val="List Table 7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6">
    <w:name w:val="List Table 7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7">
    <w:name w:val="List Table 7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8">
    <w:name w:val="List Table 7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9">
    <w:name w:val="List Table 7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40">
    <w:name w:val="List Table 7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41">
    <w:name w:val="List Table 7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42">
    <w:name w:val="Lined - Accent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Lined - Accent 1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4">
    <w:name w:val="Lined - Accent 2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5">
    <w:name w:val="Lined - Accent 3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6">
    <w:name w:val="Lined - Accent 4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7">
    <w:name w:val="Lined - Accent 5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8">
    <w:name w:val="Lined - Accent 6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9">
    <w:name w:val="Bordered &amp; Lined - Accent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Bordered &amp; Lined - Accent 1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1">
    <w:name w:val="Bordered &amp; Lined - Accent 2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2">
    <w:name w:val="Bordered &amp; Lined - Accent 3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3">
    <w:name w:val="Bordered &amp; Lined - Accent 4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4">
    <w:name w:val="Bordered &amp; Lined - Accent 5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5">
    <w:name w:val="Bordered &amp; Lined - Accent 6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6">
    <w:name w:val="Bordered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7">
    <w:name w:val="Bordered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8">
    <w:name w:val="Bordered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9">
    <w:name w:val="Bordered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0">
    <w:name w:val="Bordered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1">
    <w:name w:val="Bordered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2">
    <w:name w:val="Bordered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3">
    <w:name w:val="footnote text"/>
    <w:basedOn w:val="880"/>
    <w:link w:val="864"/>
    <w:uiPriority w:val="99"/>
    <w:semiHidden/>
    <w:unhideWhenUsed/>
    <w:pPr>
      <w:spacing w:after="40" w:line="240" w:lineRule="auto"/>
    </w:pPr>
    <w:rPr>
      <w:sz w:val="18"/>
    </w:rPr>
  </w:style>
  <w:style w:type="character" w:styleId="864">
    <w:name w:val="Footnote Text Char"/>
    <w:link w:val="863"/>
    <w:uiPriority w:val="99"/>
    <w:rPr>
      <w:sz w:val="18"/>
    </w:rPr>
  </w:style>
  <w:style w:type="character" w:styleId="865">
    <w:name w:val="footnote reference"/>
    <w:basedOn w:val="881"/>
    <w:uiPriority w:val="99"/>
    <w:unhideWhenUsed/>
    <w:rPr>
      <w:vertAlign w:val="superscript"/>
    </w:rPr>
  </w:style>
  <w:style w:type="paragraph" w:styleId="866">
    <w:name w:val="endnote text"/>
    <w:basedOn w:val="880"/>
    <w:link w:val="867"/>
    <w:uiPriority w:val="99"/>
    <w:semiHidden/>
    <w:unhideWhenUsed/>
    <w:pPr>
      <w:spacing w:after="0" w:line="240" w:lineRule="auto"/>
    </w:pPr>
    <w:rPr>
      <w:sz w:val="20"/>
    </w:rPr>
  </w:style>
  <w:style w:type="character" w:styleId="867">
    <w:name w:val="Endnote Text Char"/>
    <w:link w:val="866"/>
    <w:uiPriority w:val="99"/>
    <w:rPr>
      <w:sz w:val="20"/>
    </w:rPr>
  </w:style>
  <w:style w:type="character" w:styleId="868">
    <w:name w:val="endnote reference"/>
    <w:basedOn w:val="881"/>
    <w:uiPriority w:val="99"/>
    <w:semiHidden/>
    <w:unhideWhenUsed/>
    <w:rPr>
      <w:vertAlign w:val="superscript"/>
    </w:rPr>
  </w:style>
  <w:style w:type="paragraph" w:styleId="869">
    <w:name w:val="toc 1"/>
    <w:basedOn w:val="880"/>
    <w:next w:val="880"/>
    <w:uiPriority w:val="39"/>
    <w:unhideWhenUsed/>
    <w:pPr>
      <w:ind w:left="0" w:right="0" w:firstLine="0"/>
      <w:spacing w:after="57"/>
    </w:pPr>
  </w:style>
  <w:style w:type="paragraph" w:styleId="870">
    <w:name w:val="toc 2"/>
    <w:basedOn w:val="880"/>
    <w:next w:val="880"/>
    <w:uiPriority w:val="39"/>
    <w:unhideWhenUsed/>
    <w:pPr>
      <w:ind w:left="283" w:right="0" w:firstLine="0"/>
      <w:spacing w:after="57"/>
    </w:pPr>
  </w:style>
  <w:style w:type="paragraph" w:styleId="871">
    <w:name w:val="toc 3"/>
    <w:basedOn w:val="880"/>
    <w:next w:val="880"/>
    <w:uiPriority w:val="39"/>
    <w:unhideWhenUsed/>
    <w:pPr>
      <w:ind w:left="567" w:right="0" w:firstLine="0"/>
      <w:spacing w:after="57"/>
    </w:pPr>
  </w:style>
  <w:style w:type="paragraph" w:styleId="872">
    <w:name w:val="toc 4"/>
    <w:basedOn w:val="880"/>
    <w:next w:val="880"/>
    <w:uiPriority w:val="39"/>
    <w:unhideWhenUsed/>
    <w:pPr>
      <w:ind w:left="850" w:right="0" w:firstLine="0"/>
      <w:spacing w:after="57"/>
    </w:pPr>
  </w:style>
  <w:style w:type="paragraph" w:styleId="873">
    <w:name w:val="toc 5"/>
    <w:basedOn w:val="880"/>
    <w:next w:val="880"/>
    <w:uiPriority w:val="39"/>
    <w:unhideWhenUsed/>
    <w:pPr>
      <w:ind w:left="1134" w:right="0" w:firstLine="0"/>
      <w:spacing w:after="57"/>
    </w:pPr>
  </w:style>
  <w:style w:type="paragraph" w:styleId="874">
    <w:name w:val="toc 6"/>
    <w:basedOn w:val="880"/>
    <w:next w:val="880"/>
    <w:uiPriority w:val="39"/>
    <w:unhideWhenUsed/>
    <w:pPr>
      <w:ind w:left="1417" w:right="0" w:firstLine="0"/>
      <w:spacing w:after="57"/>
    </w:pPr>
  </w:style>
  <w:style w:type="paragraph" w:styleId="875">
    <w:name w:val="toc 7"/>
    <w:basedOn w:val="880"/>
    <w:next w:val="880"/>
    <w:uiPriority w:val="39"/>
    <w:unhideWhenUsed/>
    <w:pPr>
      <w:ind w:left="1701" w:right="0" w:firstLine="0"/>
      <w:spacing w:after="57"/>
    </w:pPr>
  </w:style>
  <w:style w:type="paragraph" w:styleId="876">
    <w:name w:val="toc 8"/>
    <w:basedOn w:val="880"/>
    <w:next w:val="880"/>
    <w:uiPriority w:val="39"/>
    <w:unhideWhenUsed/>
    <w:pPr>
      <w:ind w:left="1984" w:right="0" w:firstLine="0"/>
      <w:spacing w:after="57"/>
    </w:pPr>
  </w:style>
  <w:style w:type="paragraph" w:styleId="877">
    <w:name w:val="toc 9"/>
    <w:basedOn w:val="880"/>
    <w:next w:val="880"/>
    <w:uiPriority w:val="39"/>
    <w:unhideWhenUsed/>
    <w:pPr>
      <w:ind w:left="2268" w:right="0" w:firstLine="0"/>
      <w:spacing w:after="57"/>
    </w:pPr>
  </w:style>
  <w:style w:type="paragraph" w:styleId="878">
    <w:name w:val="TOC Heading"/>
    <w:uiPriority w:val="39"/>
    <w:unhideWhenUsed/>
  </w:style>
  <w:style w:type="paragraph" w:styleId="879">
    <w:name w:val="table of figures"/>
    <w:basedOn w:val="880"/>
    <w:next w:val="880"/>
    <w:uiPriority w:val="99"/>
    <w:unhideWhenUsed/>
    <w:pPr>
      <w:spacing w:after="0" w:afterAutospacing="0"/>
    </w:pPr>
  </w:style>
  <w:style w:type="paragraph" w:styleId="880" w:default="1">
    <w:name w:val="Normal"/>
    <w:qFormat/>
    <w:rPr>
      <w:rFonts w:ascii="Times New Roman" w:hAnsi="Times New Roman" w:eastAsia="Times New Roman" w:cs="Times New Roman"/>
      <w:color w:val="000000"/>
      <w:lang w:eastAsia="ru-RU"/>
    </w:rPr>
  </w:style>
  <w:style w:type="character" w:styleId="881" w:default="1">
    <w:name w:val="Default Paragraph Font"/>
    <w:uiPriority w:val="1"/>
    <w:semiHidden/>
    <w:unhideWhenUsed/>
  </w:style>
  <w:style w:type="table" w:styleId="8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3" w:default="1">
    <w:name w:val="No List"/>
    <w:uiPriority w:val="99"/>
    <w:semiHidden/>
    <w:unhideWhenUsed/>
  </w:style>
  <w:style w:type="paragraph" w:styleId="884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table" w:styleId="885">
    <w:name w:val="Table Grid"/>
    <w:basedOn w:val="88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86">
    <w:name w:val="List Paragraph"/>
    <w:basedOn w:val="880"/>
    <w:uiPriority w:val="34"/>
    <w:qFormat/>
    <w:pPr>
      <w:contextualSpacing/>
      <w:ind w:left="720"/>
    </w:pPr>
  </w:style>
  <w:style w:type="paragraph" w:styleId="887" w:customStyle="1">
    <w:name w:val="ConsPlusTitle"/>
    <w:uiPriority w:val="99"/>
    <w:pPr>
      <w:spacing w:after="0" w:line="240" w:lineRule="auto"/>
      <w:widowControl w:val="off"/>
    </w:pPr>
    <w:rPr>
      <w:rFonts w:ascii="Calibri" w:hAnsi="Calibri" w:eastAsia="Times New Roman" w:cs="Calibri"/>
      <w:b/>
      <w:szCs w:val="20"/>
      <w:lang w:eastAsia="ru-RU"/>
    </w:rPr>
  </w:style>
  <w:style w:type="paragraph" w:styleId="888" w:customStyle="1">
    <w:name w:val="ConsPlusTitlePage"/>
    <w:pPr>
      <w:spacing w:after="0" w:line="240" w:lineRule="auto"/>
      <w:widowControl w:val="off"/>
    </w:pPr>
    <w:rPr>
      <w:rFonts w:ascii="Tahoma" w:hAnsi="Tahoma" w:eastAsia="Times New Roman" w:cs="Tahoma"/>
      <w:sz w:val="20"/>
      <w:szCs w:val="20"/>
      <w:lang w:eastAsia="ru-RU"/>
    </w:rPr>
  </w:style>
  <w:style w:type="paragraph" w:styleId="889">
    <w:name w:val="Balloon Text"/>
    <w:basedOn w:val="880"/>
    <w:link w:val="89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90" w:customStyle="1">
    <w:name w:val="Текст выноски Знак"/>
    <w:basedOn w:val="881"/>
    <w:link w:val="889"/>
    <w:uiPriority w:val="99"/>
    <w:semiHidden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character" w:styleId="891">
    <w:name w:val="Hyperlink"/>
    <w:basedOn w:val="881"/>
    <w:uiPriority w:val="99"/>
    <w:unhideWhenUsed/>
    <w:rPr>
      <w:color w:val="0563c1" w:themeColor="hyperlink"/>
      <w:u w:val="single"/>
    </w:rPr>
  </w:style>
  <w:style w:type="paragraph" w:styleId="892">
    <w:name w:val="No Spacing"/>
    <w:uiPriority w:val="1"/>
    <w:qFormat/>
    <w:pPr>
      <w:spacing w:after="0" w:line="240" w:lineRule="auto"/>
    </w:pPr>
  </w:style>
  <w:style w:type="character" w:styleId="893">
    <w:name w:val="annotation reference"/>
    <w:basedOn w:val="881"/>
    <w:uiPriority w:val="99"/>
    <w:semiHidden/>
    <w:unhideWhenUsed/>
    <w:rPr>
      <w:sz w:val="16"/>
      <w:szCs w:val="16"/>
    </w:rPr>
  </w:style>
  <w:style w:type="paragraph" w:styleId="894">
    <w:name w:val="annotation text"/>
    <w:basedOn w:val="880"/>
    <w:link w:val="895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95" w:customStyle="1">
    <w:name w:val="Текст примечания Знак"/>
    <w:basedOn w:val="881"/>
    <w:link w:val="894"/>
    <w:uiPriority w:val="99"/>
    <w:semiHidden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896">
    <w:name w:val="annotation subject"/>
    <w:basedOn w:val="894"/>
    <w:next w:val="894"/>
    <w:link w:val="897"/>
    <w:uiPriority w:val="99"/>
    <w:semiHidden/>
    <w:unhideWhenUsed/>
    <w:rPr>
      <w:b/>
      <w:bCs/>
    </w:rPr>
  </w:style>
  <w:style w:type="character" w:styleId="897" w:customStyle="1">
    <w:name w:val="Тема примечания Знак"/>
    <w:basedOn w:val="895"/>
    <w:link w:val="896"/>
    <w:uiPriority w:val="99"/>
    <w:semiHidden/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paragraph" w:styleId="898" w:customStyle="1">
    <w:name w:val="Основной текст (7)"/>
    <w:basedOn w:val="834"/>
    <w:link w:val="840"/>
    <w:pPr>
      <w:contextualSpacing w:val="0"/>
      <w:ind w:left="0" w:right="0" w:hanging="1420"/>
      <w:jc w:val="center"/>
      <w:keepLines w:val="0"/>
      <w:keepNext w:val="0"/>
      <w:pageBreakBefore w:val="0"/>
      <w:spacing w:before="0" w:beforeAutospacing="0" w:after="0" w:afterAutospacing="0" w:line="341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HAnsi" w:cstheme="minorBidi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2"/>
      <w:highlight w:val="none"/>
      <w:u w:val="none"/>
      <w:shd w:val="clear" w:color="auto" w:fill="ffffff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login.consultant.ru/link/?req=doc&amp;base=RLAW363&amp;n=92896&amp;date=31.03.2026&amp;dst=100005&amp;field=134" TargetMode="External"/><Relationship Id="rId12" Type="http://schemas.openxmlformats.org/officeDocument/2006/relationships/hyperlink" Target="https://login.consultant.ru/link/?req=doc&amp;base=RLAW363&amp;n=117797&amp;date=31.03.2026&amp;dst=100005&amp;field=134" TargetMode="External"/><Relationship Id="rId13" Type="http://schemas.openxmlformats.org/officeDocument/2006/relationships/hyperlink" Target="https://login.consultant.ru/link/?req=doc&amp;base=RLAW363&amp;n=134452&amp;date=31.03.2026&amp;dst=100005&amp;field=134" TargetMode="External"/><Relationship Id="rId14" Type="http://schemas.openxmlformats.org/officeDocument/2006/relationships/hyperlink" Target="https://login.consultant.ru/link/?req=doc&amp;base=RLAW363&amp;n=92896&amp;date=31.03.2026&amp;dst=100005&amp;field=134" TargetMode="External"/><Relationship Id="rId15" Type="http://schemas.openxmlformats.org/officeDocument/2006/relationships/hyperlink" Target="https://login.consultant.ru/link/?req=doc&amp;base=RLAW363&amp;n=117797&amp;date=31.03.2026&amp;dst=100005&amp;field=134" TargetMode="External"/><Relationship Id="rId16" Type="http://schemas.openxmlformats.org/officeDocument/2006/relationships/hyperlink" Target="https://login.consultant.ru/link/?req=doc&amp;base=RLAW363&amp;n=134452&amp;date=31.03.2026&amp;dst=100005&amp;field=134" TargetMode="External"/><Relationship Id="rId17" Type="http://schemas.openxmlformats.org/officeDocument/2006/relationships/hyperlink" Target="http://tatarstan.ru/regulation)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DEE15-5313-4647-A749-3EBD81AB7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Сафина Марина Николаевна</dc:creator>
  <cp:revision>19</cp:revision>
  <dcterms:created xsi:type="dcterms:W3CDTF">2022-01-31T10:34:00Z</dcterms:created>
  <dcterms:modified xsi:type="dcterms:W3CDTF">2026-06-01T13:08:26Z</dcterms:modified>
</cp:coreProperties>
</file>