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5C" w:rsidRDefault="00EF5BE7">
      <w:pPr>
        <w:pStyle w:val="aa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6785C" w:rsidRDefault="00EF5BE7">
      <w:pPr>
        <w:pStyle w:val="aa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6785C" w:rsidRDefault="00EF5BE7">
      <w:pPr>
        <w:pStyle w:val="aa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6785C" w:rsidRDefault="00EF5BE7">
      <w:pPr>
        <w:pStyle w:val="aa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6785C" w:rsidRDefault="00EF5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__________№ ____</w:t>
      </w:r>
    </w:p>
    <w:p w:rsidR="0046785C" w:rsidRDefault="00467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85C" w:rsidRDefault="00EF5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СУБСИДИИ ИЗ БЮДЖЕТА РЕСПУБЛИКИ ТАТАРСТАН НЕКОММЕРЧЕСКОЙ ОРГАНИЗАЦИИ НА ФИНАНСОВОЕ ОБЕСПЕЧЕНИЕ (ВОЗМЕЩЕНИЕ) ЗАТРАТ, СВЯЗАННЫХ С РЕАЛИЗАЦИЕЙ ПРОЕКТА </w:t>
      </w:r>
    </w:p>
    <w:p w:rsidR="0046785C" w:rsidRDefault="00EF5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«ШКОЛА ПРОРЕКТОРОВ»</w:t>
      </w:r>
    </w:p>
    <w:p w:rsidR="0046785C" w:rsidRDefault="0046785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85C" w:rsidRDefault="00EF5B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6785C" w:rsidRDefault="0046785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85C" w:rsidRDefault="00EF5BE7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</w:t>
      </w:r>
      <w:r>
        <w:rPr>
          <w:rFonts w:ascii="Times New Roman" w:hAnsi="Times New Roman" w:cs="Times New Roman"/>
          <w:sz w:val="28"/>
          <w:szCs w:val="28"/>
        </w:rPr>
        <w:t>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              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</w:t>
      </w:r>
      <w:r>
        <w:rPr>
          <w:rFonts w:ascii="Times New Roman" w:hAnsi="Times New Roman" w:cs="Times New Roman"/>
          <w:sz w:val="28"/>
          <w:szCs w:val="28"/>
        </w:rPr>
        <w:t xml:space="preserve">сидий», Бюджетным кодексом Республики Татарстан и определяет цели, условия и механизм предоставления субсидии из бюджета Республики Татарстан некоммерческим организациям (за исключением государственных (муниципальных) учреждений)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(возмещение) затрат, связанных с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реализацией мероприятий проекта «Школа проректоров».</w:t>
      </w:r>
    </w:p>
    <w:p w:rsidR="0046785C" w:rsidRDefault="00EF5BE7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</w:t>
      </w:r>
      <w:r>
        <w:rPr>
          <w:sz w:val="28"/>
          <w:szCs w:val="28"/>
        </w:rPr>
        <w:t xml:space="preserve">средств доведены в установленном порядке лимиты бюджетных обязательств на предоставление субсидии на цели, указанные в </w:t>
      </w:r>
      <w:hyperlink r:id="rId6">
        <w:r>
          <w:rPr>
            <w:rStyle w:val="a3"/>
            <w:color w:val="auto"/>
            <w:sz w:val="28"/>
            <w:szCs w:val="28"/>
            <w:u w:val="none"/>
          </w:rPr>
          <w:t>пункте 3</w:t>
        </w:r>
      </w:hyperlink>
      <w:r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Порядка, является Министерство по делам молодежи Республики Татарстан (далее – Министерство).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Субсидия предоставляется в целях финансового обеспечения (возмещения) затрат некоммерческих организаций, связанных с реализацией мероприятий проекта «Школа </w:t>
      </w:r>
      <w:r>
        <w:rPr>
          <w:sz w:val="28"/>
          <w:szCs w:val="28"/>
        </w:rPr>
        <w:t>проректоров».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субсидии определяются по результатам отбора, проводимого Министерством путем запроса предложений на основании заявок, направленных участниками отбора (далее соответственно – отбор, заявка), исходя из их соответствия требованиям отб</w:t>
      </w:r>
      <w:r>
        <w:rPr>
          <w:sz w:val="28"/>
          <w:szCs w:val="28"/>
        </w:rPr>
        <w:t xml:space="preserve">ора, установленным в пункте 10 настоящего Порядка, и очередности поступления заявок. 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785C" w:rsidRDefault="0046785C">
      <w:pPr>
        <w:pStyle w:val="ab"/>
        <w:spacing w:beforeAutospacing="0" w:after="0" w:afterAutospacing="0"/>
        <w:jc w:val="both"/>
        <w:rPr>
          <w:sz w:val="28"/>
          <w:szCs w:val="28"/>
        </w:rPr>
      </w:pP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 настоящем Порядке под проектом «Школа проректоров» понимается комплекс образовательных, просветительских, проектных и организационных мероприятий, направленных на</w:t>
      </w:r>
      <w:r>
        <w:rPr>
          <w:sz w:val="28"/>
          <w:szCs w:val="28"/>
        </w:rPr>
        <w:t>: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управленческих компетенций и повышение квалификации проректоров, а также лиц, включенных в кадровый резерв на замещение руководящих должностей в образовательных организациях высшего и профессионального образования;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единого </w:t>
      </w:r>
      <w:r>
        <w:rPr>
          <w:sz w:val="28"/>
          <w:szCs w:val="28"/>
        </w:rPr>
        <w:t>информационного и экспертного пространства для взаимодействия научно-технических вузов, профессиональных образовательных организаций и предприятий Республики Татарстан;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предварительных проектов совместных технологических разработок, способствующих</w:t>
      </w:r>
      <w:r>
        <w:rPr>
          <w:sz w:val="28"/>
          <w:szCs w:val="28"/>
        </w:rPr>
        <w:t xml:space="preserve"> технологическому лидерству и укреплению научно-технологической инфраструктуры Республики Татарстан.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 направлениям расходов (затрат), источником финансового обеспечения (возмещения) которых является субсидия, относятся: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по договорам оказания усл</w:t>
      </w:r>
      <w:r>
        <w:rPr>
          <w:sz w:val="28"/>
          <w:szCs w:val="28"/>
        </w:rPr>
        <w:t>уг и выполнения работ, в том числе договорам гражданско-правового характера, заключенным с привлеченными специалистами, непосредственно задействованными в реализации мероприятий проекта «Школа проректоров», а также с привлеченным административно-хозяйствен</w:t>
      </w:r>
      <w:r>
        <w:rPr>
          <w:sz w:val="28"/>
          <w:szCs w:val="28"/>
        </w:rPr>
        <w:t>ным персоналом, включая начисления на выплаты по оплате труда (страховые взносы) в соответствии с законодательством Российской Федерации о налогах и сборах;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по договорам поставки, оказания услуг, выполнения работ, аренды, в том числе договорам гражд</w:t>
      </w:r>
      <w:r>
        <w:rPr>
          <w:sz w:val="28"/>
          <w:szCs w:val="28"/>
        </w:rPr>
        <w:t>анско-правового характера, исполнителем по которым является физическое лицо или индивидуальный предприниматель, договорам на приобретение товаров, непроизведенных активов, нематериальных активов, материальных запасов и основных средств, включая приобретени</w:t>
      </w:r>
      <w:r>
        <w:rPr>
          <w:sz w:val="28"/>
          <w:szCs w:val="28"/>
        </w:rPr>
        <w:t>е программного обеспечения, оборудования, материалов для создания предварительных проектов технологических разработок, бланочной и полиграфической продукции (в том числе дипломов, удостоверений, сертификатов), необходимых для организации и проведения мероп</w:t>
      </w:r>
      <w:r>
        <w:rPr>
          <w:sz w:val="28"/>
          <w:szCs w:val="28"/>
        </w:rPr>
        <w:t>риятий проекта «Школа проректоров», и иным договорам, заключенным на дату подачи заявки и (или) планируемым к заключению в связи с организацией и проведением мероприятий проекта «Школа проректоров»;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командировочные расходы, связанные с реализацией мероприя</w:t>
      </w:r>
      <w:r>
        <w:rPr>
          <w:sz w:val="28"/>
          <w:szCs w:val="28"/>
        </w:rPr>
        <w:t>тий проекта «Школа проректоров».</w:t>
      </w:r>
    </w:p>
    <w:p w:rsidR="0046785C" w:rsidRDefault="00EF5BE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Расчет размера субсидии (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фо</w:t>
      </w:r>
      <w:proofErr w:type="spellEnd"/>
      <w:r>
        <w:rPr>
          <w:sz w:val="28"/>
          <w:szCs w:val="28"/>
        </w:rPr>
        <w:t>) на финансовое обеспечение затрат осуществляется по следующей формуле:</w:t>
      </w:r>
    </w:p>
    <w:p w:rsidR="0046785C" w:rsidRDefault="00EF5BE7">
      <w:pPr>
        <w:suppressAutoHyphens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6785C" w:rsidRDefault="00EF5B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...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785C" w:rsidRDefault="00EF5BE7">
      <w:pPr>
        <w:suppressAutoHyphens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6785C" w:rsidRDefault="00EF5BE7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...,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расходы, подлежащие финансовому обеспечению за счет предоставляемой субсидии по направлениям, указанным в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785C" w:rsidRDefault="00EF5BE7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по направлениям, указанным в пункте 5 настоящего Порядка (за исключением расходов на оплату услуг привлеченных специалистов, включая начисления на данные выплаты), подлежащие финансовому обеспечению за счет субсидии, определяются Министерством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етодом сопоставления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а при невозможности применения метода сопоставления рыночных цен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методами, предусмотренными законодательством Российской Федерации, в том числе на основании представленного участником отбора финансово-экономического обоснования планируемых затрат.</w:t>
      </w:r>
    </w:p>
    <w:p w:rsidR="0046785C" w:rsidRDefault="00EF5BE7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привлеченных специалистов определяются исх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одя из планируемого количества специалистов, объема оказываемых ими услуг (количества часов или дней) и стоимости услуг в соответствии                               с представленными участником отбора коммерческими предложениями или проектами договоров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жданско-правового характера. Расходы на начисления на данные выплаты включают уплату страховых взносов в соответствии с законодательством Российской Федерации о налогах и сборах.</w:t>
      </w:r>
    </w:p>
    <w:p w:rsidR="0046785C" w:rsidRDefault="00EF5BE7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субсидии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возмещение затрат осуществляется по следующе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формуле: </w:t>
      </w:r>
    </w:p>
    <w:p w:rsidR="0046785C" w:rsidRDefault="00EF5BE7">
      <w:pPr>
        <w:suppressAutoHyphens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6785C" w:rsidRDefault="00EF5B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...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785C" w:rsidRDefault="00EF5BE7">
      <w:pPr>
        <w:suppressAutoHyphens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6785C" w:rsidRDefault="00EF5BE7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...,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произведенные затраты участника отбора по направлениям, указанным в пункте 5 настоящего Порядка. 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по направлениям, указанным в пункте 5 настоящего Порядка (за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затрат на оплату услуг привлеченных специалистов, включая начисления на данные выплаты), подлежащие возмещению за счет субсидии, определяются Министерством исходя из фактически произведенных затрат с учетом документов, представленных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абзацем четвертым пункта 13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превышающих рыночных цен идентичных (однородных) товаров, работ, услуг, определяемых путем анализа информации о ценах организаций-изготовителей, об уровне цен, имеющейся у органов государственной стат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а при невозможности применения метода сопоставления рыночных цен – иными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методами, предусмотренными законодательством Российской Федерации, в том числе на основании представленного участником отбора финансово-экономического обоснования фактически произведенных затрат.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оплату услуг привлеченных специалистов, подлежащи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возмещению за счет субсидии, определяются исходя из фактически произведенных затрат на оплату услуг по договорам гражданско-правового характера в соответствии с документами, указанными в абзаце четвертом пункта 13 настоящего Порядка. Затраты на начислени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данные выплаты включают уплату страховых взносов в соответствии с законодательством Российской Федерации о налогах и сборах.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Результатами предоставления субсидии являются: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публикаций о ходе реализации проекта в средствах массовой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и (или) в информационно-телекоммуникационной сети «Интернет» – не менее 3 единиц;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проекта, прошедших обучение по программе проекта, – не менее 20 человек (нарастающим итогом с начала отчетного финансового года).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авлении субсидии на возмещение затрат значения результатов должны быть достигнуты на дату подачи заявки на предоставление субсидии и подтверждены документами, представленными в соответствии с пунктом 13 настоящего Порядка.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субсидии на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нансовое обеспечение затрат значения результатов должны быть достигнуты до 31 декабря отчетного года.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rFonts w:ascii="Times New Roman" w:hAnsi="Times New Roman" w:cs="Times New Roman"/>
          <w:sz w:val="28"/>
          <w:szCs w:val="28"/>
        </w:rPr>
        <w:t>– единый портал) в разделе «Бюджет» в порядке, установленном Министерством финансов Российской Федерации, в течение 30 рабочих дней со дня, следующего за днем доведения бюджетных ассигнований на предоставление субсидий до Министерства.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Отбор осуществляе</w:t>
      </w:r>
      <w:r>
        <w:rPr>
          <w:rFonts w:ascii="Times New Roman" w:hAnsi="Times New Roman" w:cs="Times New Roman"/>
          <w:sz w:val="28"/>
          <w:szCs w:val="28"/>
        </w:rPr>
        <w:t>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Министерства и комиссии по рассмотрению заявок с участниками отбора осуществляется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документов в электронной форме в системе «Электронный бюджет».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</w:t>
      </w:r>
      <w:r>
        <w:rPr>
          <w:rFonts w:ascii="Times New Roman" w:hAnsi="Times New Roman" w:cs="Times New Roman"/>
          <w:sz w:val="28"/>
          <w:szCs w:val="28"/>
        </w:rPr>
        <w:t>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6785C" w:rsidRDefault="004678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85C" w:rsidRDefault="00EF5B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Требования к участнику отбора</w:t>
      </w:r>
    </w:p>
    <w:p w:rsidR="0046785C" w:rsidRDefault="00467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Участник отбор</w:t>
      </w:r>
      <w:r>
        <w:rPr>
          <w:rFonts w:ascii="Times New Roman" w:hAnsi="Times New Roman" w:cs="Times New Roman"/>
          <w:sz w:val="28"/>
          <w:szCs w:val="28"/>
        </w:rPr>
        <w:t>а по состоянию на дату рассмотрения заявки должен соответствовать следующим требованиям: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</w:t>
      </w:r>
      <w:r>
        <w:rPr>
          <w:rFonts w:ascii="Times New Roman" w:hAnsi="Times New Roman" w:cs="Times New Roman"/>
          <w:sz w:val="28"/>
          <w:szCs w:val="28"/>
        </w:rPr>
        <w:t>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</w:t>
      </w:r>
      <w:r>
        <w:rPr>
          <w:rFonts w:ascii="Times New Roman" w:hAnsi="Times New Roman" w:cs="Times New Roman"/>
          <w:sz w:val="28"/>
          <w:szCs w:val="28"/>
        </w:rPr>
        <w:t>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деятельности или терроризму;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</w:t>
      </w:r>
      <w:r>
        <w:rPr>
          <w:rFonts w:ascii="Times New Roman" w:hAnsi="Times New Roman" w:cs="Times New Roman"/>
          <w:sz w:val="28"/>
          <w:szCs w:val="28"/>
        </w:rPr>
        <w:t>ально созданны</w:t>
      </w:r>
      <w:r>
        <w:rPr>
          <w:rFonts w:ascii="Times New Roman" w:hAnsi="Times New Roman" w:cs="Times New Roman"/>
          <w:sz w:val="28"/>
          <w:szCs w:val="28"/>
        </w:rPr>
        <w:t>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6785C" w:rsidRDefault="00EF5BE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</w:t>
      </w:r>
      <w:r>
        <w:rPr>
          <w:rFonts w:ascii="Times New Roman" w:hAnsi="Times New Roman" w:cs="Times New Roman"/>
          <w:sz w:val="28"/>
          <w:szCs w:val="28"/>
        </w:rPr>
        <w:t>ки Татарстан на основании иных нормативных правовых актов Республики Татарстан на цели, указанные в пункте 3 настоящего Порядка;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лиц, находящихся под иностранным влиянием»;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</w:t>
      </w:r>
      <w:r>
        <w:rPr>
          <w:rFonts w:ascii="Times New Roman" w:hAnsi="Times New Roman" w:cs="Times New Roman"/>
          <w:sz w:val="28"/>
          <w:szCs w:val="28"/>
        </w:rPr>
        <w:t>етной системы Российской Федерации;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</w:t>
      </w:r>
      <w:r>
        <w:rPr>
          <w:rFonts w:ascii="Times New Roman" w:hAnsi="Times New Roman" w:cs="Times New Roman"/>
          <w:sz w:val="28"/>
          <w:szCs w:val="28"/>
        </w:rPr>
        <w:t>Татарстан (за исключением случаев, установленных Кабинетом Министров Республики Татарстан);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уча</w:t>
      </w:r>
      <w:r>
        <w:rPr>
          <w:rFonts w:ascii="Times New Roman" w:hAnsi="Times New Roman" w:cs="Times New Roman"/>
          <w:sz w:val="28"/>
          <w:szCs w:val="28"/>
        </w:rPr>
        <w:t xml:space="preserve">стника отбора не введена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6785C" w:rsidRDefault="00EF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</w:t>
      </w:r>
      <w:r>
        <w:rPr>
          <w:rFonts w:ascii="Times New Roman" w:hAnsi="Times New Roman" w:cs="Times New Roman"/>
          <w:sz w:val="28"/>
          <w:szCs w:val="28"/>
        </w:rPr>
        <w:t>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(при наличии).</w:t>
      </w:r>
    </w:p>
    <w:p w:rsidR="0046785C" w:rsidRDefault="0046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85C" w:rsidRDefault="00EF5BE7">
      <w:pPr>
        <w:suppressAutoHyphens w:val="0"/>
        <w:spacing w:before="16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формирования и размещения объявления</w:t>
      </w:r>
    </w:p>
    <w:p w:rsidR="0046785C" w:rsidRDefault="00EF5B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85C" w:rsidRDefault="0046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Объявление о </w:t>
      </w:r>
      <w:r>
        <w:rPr>
          <w:sz w:val="28"/>
          <w:szCs w:val="28"/>
        </w:rPr>
        <w:t>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</w:t>
      </w:r>
      <w:r>
        <w:rPr>
          <w:sz w:val="28"/>
          <w:szCs w:val="28"/>
        </w:rPr>
        <w:t>номоченного им лица), публикуется на едином портале за один день до начала приема заявок и включает в себя следующую информацию: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отбора;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подачи и окончания приема заявок, при этом дата окончания приема заявок не может быть ране</w:t>
      </w:r>
      <w:r>
        <w:rPr>
          <w:sz w:val="28"/>
          <w:szCs w:val="28"/>
        </w:rPr>
        <w:t>е 10-го календарного дня, следующего за днем размещения объявления о проведении отбора;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предоставления субсидии в соответствии с пунктом 7 настоящего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доменное имя и (или) указатели страниц государственной информационной системы, обеспечивающей проведение отбора, в информационно-телекоммуникационной сети «Интернет» (далее –государственная информационная система);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участникам отбора в соответс</w:t>
      </w:r>
      <w:r>
        <w:rPr>
          <w:sz w:val="28"/>
          <w:szCs w:val="28"/>
        </w:rPr>
        <w:t>твии с пунктом 10 настоящего Порядка и к перечню документов, представляемых для подтверждения их соответствия указанным требованиям;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подачи заявок и требования, предъявляемые к форме и содержанию заявок в соответствии с пунктами 13-16 настоящего По</w:t>
      </w:r>
      <w:r>
        <w:rPr>
          <w:sz w:val="28"/>
          <w:szCs w:val="28"/>
        </w:rPr>
        <w:t>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16 настоящего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рассмотрения заявок в соответствии с пунктами 20-22 насто</w:t>
      </w:r>
      <w:r>
        <w:rPr>
          <w:sz w:val="28"/>
          <w:szCs w:val="28"/>
        </w:rPr>
        <w:t>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возврата заявок на доработку;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настоящим Порядком, правила </w:t>
      </w:r>
      <w:r>
        <w:rPr>
          <w:sz w:val="28"/>
          <w:szCs w:val="28"/>
        </w:rPr>
        <w:lastRenderedPageBreak/>
        <w:t>распр</w:t>
      </w:r>
      <w:r>
        <w:rPr>
          <w:sz w:val="28"/>
          <w:szCs w:val="28"/>
        </w:rPr>
        <w:t>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разъяснений положений объяв</w:t>
      </w:r>
      <w:r>
        <w:rPr>
          <w:sz w:val="28"/>
          <w:szCs w:val="28"/>
        </w:rPr>
        <w:t>ления о проведении отбора, даты начала и окончания срока такого предоставления в соответствии с пунктом 17 настоящего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которого победитель отбора должен подписать соглашение в соответствии с пунктом 33 настоящего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пр</w:t>
      </w:r>
      <w:r>
        <w:rPr>
          <w:sz w:val="28"/>
          <w:szCs w:val="28"/>
        </w:rPr>
        <w:t>изнания победителя отбора уклонившимся от заключения соглашения в соответствии с пунктом 34 настоящего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размещения протокола подведения итогов отбора на едином портале и на официальном сайте Министерства в информационно-телекоммуникационной с</w:t>
      </w:r>
      <w:r>
        <w:rPr>
          <w:sz w:val="28"/>
          <w:szCs w:val="28"/>
        </w:rPr>
        <w:t>ети «Интернет», которые не могут быть позднее 14-го календарного дня, следующего за днем определения победителя отбора.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</w:t>
      </w:r>
      <w:r>
        <w:rPr>
          <w:sz w:val="28"/>
          <w:szCs w:val="28"/>
        </w:rPr>
        <w:t>тбора, установленному настоящим пунктом, не позднее наступления даты окончания приема заявок с соблюдением следующих условий: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</w:t>
      </w:r>
      <w:r>
        <w:rPr>
          <w:sz w:val="28"/>
          <w:szCs w:val="28"/>
        </w:rPr>
        <w:t xml:space="preserve"> приема заявок указанный срок составлял не менее трех календарных дней;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внесения изменений в объявление о проведении отбора после наступления даты нач</w:t>
      </w:r>
      <w:r>
        <w:rPr>
          <w:sz w:val="28"/>
          <w:szCs w:val="28"/>
        </w:rPr>
        <w:t>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пунктом 16 настоящего Порядка;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отбора, подавшие заявку, уведомляются о внесении изменений </w:t>
      </w:r>
      <w:r>
        <w:rPr>
          <w:sz w:val="28"/>
          <w:szCs w:val="28"/>
        </w:rPr>
        <w:t>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46785C" w:rsidRDefault="00EF5BE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85C" w:rsidRDefault="00EF5BE7">
      <w:pPr>
        <w:suppressAutoHyphens w:val="0"/>
        <w:spacing w:before="16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отмены проведения отбора</w:t>
      </w:r>
    </w:p>
    <w:p w:rsidR="0046785C" w:rsidRDefault="0046785C">
      <w:pPr>
        <w:pStyle w:val="ConsPlusNormal"/>
        <w:ind w:firstLine="540"/>
        <w:jc w:val="both"/>
        <w:rPr>
          <w:sz w:val="28"/>
          <w:szCs w:val="28"/>
        </w:rPr>
      </w:pP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Размещение Министерством объявления об </w:t>
      </w:r>
      <w:r>
        <w:rPr>
          <w:sz w:val="28"/>
          <w:szCs w:val="28"/>
        </w:rPr>
        <w:t>отмене проведения отбора на едином портале допускается не позднее чем за один рабочий день до даты окончания срока подачи заявок.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</w:t>
      </w:r>
      <w:r>
        <w:rPr>
          <w:sz w:val="28"/>
          <w:szCs w:val="28"/>
        </w:rPr>
        <w:t>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Случаем отмены отбо</w:t>
      </w:r>
      <w:r>
        <w:rPr>
          <w:sz w:val="28"/>
          <w:szCs w:val="28"/>
        </w:rPr>
        <w:t>ра является отзыв лимитов бюджетных обязательств, доведенных на цели, указанные в пункте 3 настоящего Порядка.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Отбор считается отмененным со дня ра</w:t>
      </w:r>
      <w:r>
        <w:rPr>
          <w:sz w:val="28"/>
          <w:szCs w:val="28"/>
        </w:rPr>
        <w:t>змещения объявления о его отмене на едином портале.</w:t>
      </w:r>
      <w:bookmarkStart w:id="1" w:name="P141"/>
    </w:p>
    <w:p w:rsidR="0046785C" w:rsidRDefault="0046785C">
      <w:pPr>
        <w:pStyle w:val="ConsPlusNormal"/>
        <w:ind w:firstLine="540"/>
        <w:jc w:val="both"/>
        <w:rPr>
          <w:sz w:val="28"/>
          <w:szCs w:val="28"/>
        </w:rPr>
      </w:pP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V. Порядок формирования и подачи участниками отбора заявок</w:t>
      </w:r>
    </w:p>
    <w:bookmarkEnd w:id="1"/>
    <w:p w:rsidR="0046785C" w:rsidRDefault="0046785C">
      <w:pPr>
        <w:pStyle w:val="ConsPlusNormal"/>
        <w:ind w:firstLine="540"/>
        <w:jc w:val="both"/>
        <w:rPr>
          <w:sz w:val="28"/>
          <w:szCs w:val="28"/>
        </w:rPr>
      </w:pP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Для участия в отборе участники отбора в сроки, указанные в объявлении о проведении отбора, формируют и подают заявки в электронной форме по</w:t>
      </w:r>
      <w:r>
        <w:rPr>
          <w:sz w:val="28"/>
          <w:szCs w:val="28"/>
        </w:rPr>
        <w:t xml:space="preserve">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</w:t>
      </w:r>
      <w:r>
        <w:rPr>
          <w:sz w:val="28"/>
          <w:szCs w:val="28"/>
        </w:rPr>
        <w:t>сканирования):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учредительных документов, заверенных печатью (в случае ее наличия) и подписью руководителя участника отбора;</w:t>
      </w:r>
      <w:bookmarkStart w:id="2" w:name="P143"/>
      <w:bookmarkEnd w:id="2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утвержденной руководителем участника отбора сметы расходов по направлениям, указанным в пункте 5 настоящего Порядка, с приложением </w:t>
      </w:r>
      <w:r>
        <w:rPr>
          <w:sz w:val="28"/>
          <w:szCs w:val="28"/>
        </w:rPr>
        <w:t>финансово-экономического обоснования, содержащего калькуляцию планируемых направлений расходов с указанием информации, обосновывающей их размер, а также источника ее получения (счета, заключенные договоры, коммерческие предложения поставщиков товаров и усл</w:t>
      </w:r>
      <w:r>
        <w:rPr>
          <w:sz w:val="28"/>
          <w:szCs w:val="28"/>
        </w:rPr>
        <w:t>уг, проекты договоров гражданско-правового характера и коммерческие предложения от привлекаемых специалистов, информация о ценах изготовителя, об уровне цен, имеющаяся у органов государственной статистики, а также в средствах массовой информации и специаль</w:t>
      </w:r>
      <w:r>
        <w:rPr>
          <w:sz w:val="28"/>
          <w:szCs w:val="28"/>
        </w:rPr>
        <w:t>ной литературе, включая официальные сайты производителей и поставщиков в информационно-телекоммуникационной сети «Интернет») – при подаче заявки на финансовое обеспечение затрат;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подтверждающих фактически произведенные затраты по направлениям, </w:t>
      </w:r>
      <w:r>
        <w:rPr>
          <w:sz w:val="28"/>
          <w:szCs w:val="28"/>
        </w:rPr>
        <w:t>указанным в пункте 5 настоящего Порядка (смета затрат, договоры и приложения к ним, платежные документы (платежные поручения, приходные и расходные ордера), копии договоров гражданско-правового характера и актов выполненных работ (оказанных услуг), авансов</w:t>
      </w:r>
      <w:r>
        <w:rPr>
          <w:sz w:val="28"/>
          <w:szCs w:val="28"/>
        </w:rPr>
        <w:t>ые отчеты, проездные документы, счета за проживание в гостиницах, документы (распоряжения) о направлении привлеченных специалистов для участия в мероприятиях проекта, счета, универсальные передаточные документы, счета-фактуры, накладные), а также документо</w:t>
      </w:r>
      <w:r>
        <w:rPr>
          <w:sz w:val="28"/>
          <w:szCs w:val="28"/>
        </w:rPr>
        <w:t xml:space="preserve">в, подтверждающих достижение значений результатов предоставления субсидии, указанных в пункте 7 настоящего Порядка (копии публикаций, реестры обученных лиц, копии выданных документов о квалификации/обучении), – при подаче заявки на возмещение затрат.14. </w:t>
      </w:r>
      <w:r>
        <w:rPr>
          <w:sz w:val="28"/>
          <w:szCs w:val="28"/>
        </w:rPr>
        <w:lastRenderedPageBreak/>
        <w:t>За</w:t>
      </w:r>
      <w:r>
        <w:rPr>
          <w:sz w:val="28"/>
          <w:szCs w:val="28"/>
        </w:rPr>
        <w:t>явка должна содержать следующие сведения: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информация об участнике отбора: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полное и сокращенное наименование участника отбора;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государственно</w:t>
      </w:r>
      <w:r>
        <w:rPr>
          <w:sz w:val="28"/>
          <w:szCs w:val="28"/>
        </w:rPr>
        <w:t>й регистрации участника отбора;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юридического лица;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руководителе участника отбора (фамилия, имя, отчество (при наличии));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информация и документы, подтверждающие соответствие участника отбора установленным в объявлен</w:t>
      </w:r>
      <w:r>
        <w:rPr>
          <w:sz w:val="28"/>
          <w:szCs w:val="28"/>
        </w:rPr>
        <w:t>ии о проведении отбора требованиям;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</w:t>
      </w:r>
      <w:r>
        <w:rPr>
          <w:sz w:val="28"/>
          <w:szCs w:val="28"/>
        </w:rPr>
        <w:t>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предлагаемые участником отбора значения результатов предоставления </w:t>
      </w:r>
      <w:r>
        <w:rPr>
          <w:sz w:val="28"/>
          <w:szCs w:val="28"/>
        </w:rPr>
        <w:t>субсидии, размер запрашиваемой субсидии (с финансово-экономическим обоснованием).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Заявки подписываются усиленной квалифицированной электронной подписью руководителя участника отбора или уполномоченного им лица.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полноту и достоверность ин</w:t>
      </w:r>
      <w:r>
        <w:rPr>
          <w:sz w:val="28"/>
          <w:szCs w:val="28"/>
        </w:rPr>
        <w:t>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bookmarkStart w:id="3" w:name="P160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Датой представления заявки считается день подписания участником отбора заявки с при</w:t>
      </w:r>
      <w:r>
        <w:rPr>
          <w:sz w:val="28"/>
          <w:szCs w:val="28"/>
        </w:rPr>
        <w:t>своением ей регистрационного номера в системе «Электронный бюджет».</w:t>
      </w:r>
      <w:bookmarkEnd w:id="3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</w:t>
      </w:r>
      <w:r>
        <w:rPr>
          <w:sz w:val="28"/>
          <w:szCs w:val="28"/>
        </w:rPr>
        <w:t>и заявок.</w:t>
      </w:r>
      <w:bookmarkStart w:id="4" w:name="P161"/>
      <w:bookmarkEnd w:id="4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заявку осуществляется участником отбора в порядке, аналогичном порядку формирования заявки, указанному в пункте 13 настоящего Порядка.</w:t>
      </w:r>
      <w:bookmarkStart w:id="5" w:name="P162"/>
      <w:bookmarkEnd w:id="5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Участники отбора со дня размещения объявления о проведении отбора на едином портале и </w:t>
      </w:r>
      <w:r>
        <w:rPr>
          <w:sz w:val="28"/>
          <w:szCs w:val="28"/>
        </w:rPr>
        <w:t xml:space="preserve">не позднее третьего рабочего дня до даты окончания срока приема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соответствующих </w:t>
      </w:r>
      <w:r>
        <w:rPr>
          <w:sz w:val="28"/>
          <w:szCs w:val="28"/>
        </w:rPr>
        <w:lastRenderedPageBreak/>
        <w:t>запросов.</w:t>
      </w:r>
      <w:bookmarkStart w:id="6" w:name="P163"/>
      <w:bookmarkEnd w:id="6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в</w:t>
      </w:r>
      <w:r>
        <w:rPr>
          <w:sz w:val="28"/>
          <w:szCs w:val="28"/>
        </w:rPr>
        <w:t xml:space="preserve"> ответ на запрос, указанный в абзаце первом настоящего пункта, направляет разъяснение положений объявления о проведении отбора в срок, установленный в объявлении о проведении отбора, но не позднее одного рабочего дня до даты окончания срока приема заявок п</w:t>
      </w:r>
      <w:r>
        <w:rPr>
          <w:sz w:val="28"/>
          <w:szCs w:val="28"/>
        </w:rPr>
        <w:t>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 к раз</w:t>
      </w:r>
      <w:r>
        <w:rPr>
          <w:sz w:val="28"/>
          <w:szCs w:val="28"/>
        </w:rPr>
        <w:t>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46785C" w:rsidRDefault="00EF5BE7">
      <w:pPr>
        <w:suppressAutoHyphens w:val="0"/>
        <w:spacing w:before="16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рассмотрения заявок, а также определения</w:t>
      </w:r>
    </w:p>
    <w:p w:rsidR="0046785C" w:rsidRDefault="00EF5B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победителей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85C" w:rsidRDefault="0046785C">
      <w:pPr>
        <w:pStyle w:val="ConsPlusNormal"/>
        <w:jc w:val="both"/>
        <w:rPr>
          <w:sz w:val="28"/>
          <w:szCs w:val="28"/>
        </w:rPr>
      </w:pPr>
    </w:p>
    <w:p w:rsidR="0046785C" w:rsidRDefault="00EF5BE7">
      <w:pPr>
        <w:pStyle w:val="ConsPlusNormal"/>
        <w:tabs>
          <w:tab w:val="left" w:pos="32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Министерство в целях рассмотрения</w:t>
      </w:r>
      <w:r>
        <w:rPr>
          <w:sz w:val="28"/>
          <w:szCs w:val="28"/>
        </w:rPr>
        <w:t xml:space="preserve"> заявок принимает решение о создании комиссии по рассмотрению заявок (далее – комиссия), которое оформляется приказом.</w:t>
      </w:r>
    </w:p>
    <w:p w:rsidR="0046785C" w:rsidRDefault="00EF5BE7">
      <w:pPr>
        <w:pStyle w:val="ConsPlusNormal"/>
        <w:tabs>
          <w:tab w:val="left" w:pos="32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о создании комиссии должен содержать:</w:t>
      </w:r>
    </w:p>
    <w:p w:rsidR="0046785C" w:rsidRDefault="00EF5BE7">
      <w:pPr>
        <w:pStyle w:val="ConsPlusNormal"/>
        <w:tabs>
          <w:tab w:val="left" w:pos="32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председателе комиссии, заместителе председателя комиссии, секретаре комиссии, п</w:t>
      </w:r>
      <w:r>
        <w:rPr>
          <w:sz w:val="28"/>
          <w:szCs w:val="28"/>
        </w:rPr>
        <w:t>ерсональном составе комиссии;</w:t>
      </w:r>
    </w:p>
    <w:p w:rsidR="0046785C" w:rsidRDefault="00EF5BE7">
      <w:pPr>
        <w:pStyle w:val="ConsPlusNormal"/>
        <w:tabs>
          <w:tab w:val="left" w:pos="32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полномочиях комиссии, к которым относятся:</w:t>
      </w:r>
    </w:p>
    <w:p w:rsidR="0046785C" w:rsidRDefault="00EF5BE7">
      <w:pPr>
        <w:pStyle w:val="ConsPlusNormal"/>
        <w:tabs>
          <w:tab w:val="left" w:pos="32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заявок;</w:t>
      </w:r>
    </w:p>
    <w:p w:rsidR="0046785C" w:rsidRDefault="00EF5BE7">
      <w:pPr>
        <w:pStyle w:val="ConsPlusNormal"/>
        <w:tabs>
          <w:tab w:val="left" w:pos="32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протоколов, формируемых в процессе проведения отбора.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Заседание Комиссии считается правомочным, если в рассмотрении заявок в системе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бюджет» приняло участие не менее половины ее состава.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принимает решения простым большинством голосов от общего числа членов комиссии, присутствующих на заседании комиссии. При равенстве числа голосов голос председателя Комиссии (либо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ица, исполняющего его обязанности) является решающим. Решение комиссии оформляется протоколом.  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Рассмотрение заявок осуществляется комиссией в системе «Электронный бюджет» в течение 10 рабочих дней, следующих за днем открытия доступа Министерству 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для рассмотрения заявок.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и комиссии открывается доступ в системе «Электронный бюджет» к поданным участниками отбора заявкам. 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 вскрытия заявок формируется в системе «Электронный бюджет» автоматически в день вскрытия заявок, установленный в объявле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нии о проведении отбора, и содержит следующую информацию о поступивших заявках: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заявки;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заявки;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участника отбора;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юридического лица;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запрашиваемый участником отбора размер субсидии.</w:t>
      </w:r>
    </w:p>
    <w:p w:rsidR="0046785C" w:rsidRDefault="00EF5BE7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Протокол вскрытия заявок подписывается усиленной квалифицированной электронной подписью председателя комиссии и членов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системе «Электронный бюджет» не позднее одного рабочего дня, следующего за днем его формирования, и размещается на едином портале не позднее одного рабочего дня, следующего за днем его подписания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Заявка признается надлежащей, если она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ствует требованиям, указанным в объявлении о проведении отбора, и при отсутствии оснований для отклонения заявки.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представленных участником отбора информации и документов, поданных в составе заявки.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На стадии рассмотрения заявки основаниями для отклонения заявки являются: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несоответствие участника отбора требованиям, установленным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непредставление (представление не в полном объеме) документов, установленных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несоответствие представленных документов и (или) заявки требованиям, установленным в объявлении о проведении отбора;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недостоверность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содержащейся в документах, представленных в составе заявки в целях подтверждения соответствия требованиям, установленным настоящим Порядком;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подача участником отбора заявки после даты и (или) времени, определенных для подачи заявок.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Отбор 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несостоявшимся в случаях: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окончании срока подачи заявок не подано ни одной заявки;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результатам рассмотрения заявок отклонены все заявки.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0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 В случае если в целях полного, всестороннего и объективного рассмотрения заявки необходимо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жет», направляемый при необходимости в равной мере всем участникам отбора.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21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запросе, указанном в </w:t>
      </w:r>
      <w:hyperlink w:anchor="p2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Министерство устанавливает срок представления участником отбора разъяснения в отношении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информации, который должен составлять не менее двух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рабочих дней со дня, следующего за днем размещения соответствующего запроса.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формирует и представляет в систему «Электронный бюджет» информацию и документы, запрашиваемые 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hyperlink w:anchor="p2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первым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в сроки, установленные соответствующим запросом с учетом положений </w:t>
      </w:r>
      <w:hyperlink w:anchor="p2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 второго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участник отбора в ответ на запрос, указанный в </w:t>
      </w:r>
      <w:hyperlink w:anchor="p2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не представил запрашиваемые документы и информацию в срок, установленный соответствующим запросом с учетом положений </w:t>
      </w:r>
      <w:hyperlink w:anchor="p2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 второго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информация об этом вклю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чается в протокол подведения итогов отбора, предусмотренный </w:t>
      </w:r>
      <w:hyperlink w:anchor="p3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 Ранжирование заявок, признанных надлежащими по результатам рассмотрения заявок, осуществляется комиссией исходя из очередности поступл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заявок.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отбора.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ику отбора, которому присвоен первый порядковый номер в рейтинге, распределяется размер субсидии, равный значению размера, указанному им в заявке, и рассчитанный в соответствии с требованиями пункта 6 настоящего Порядка.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субсидия, распределяемая в рамках отбора, больше размера субсидии, указанного в заявке, которому присвоен первый порядковый номер, оставшийся размер субсидии распределяется между остальными участниками отбора, включенными в рейтинг.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 участнику отбора, включенному в рейтинг, распределяется субсидия в размере, равном размеру, указанному им в заявке, и рассчитанном в соответствии с требованиями пункта 6 настоящего Порядка.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субсидии, указанный участником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 в заявке и рассчитанный в соответствии с требованиями пункта 6 настоящего Порядка,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 без изменения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участником отбора в заявке значения результата предоставления субсидии.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В целях завершения отбора и определения победителей в системе «Электронный бюджет» автоматически на основании результатов определения победителей отбора формируется протокол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 отбора, включающий следующие сведения: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рассмотрения заявок;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участниках отбора, заявки которых были рассмотрены;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отклонены,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указанием причин их отклонения, в том числе положений объявления                           о проведении отбора, которым не соответствуют такие заявки;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получателя (получателей) субсидии, с которым (которыми) заключается соглашение, и 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предоставляемой ему (им) субсидии.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Протокол подведения итогов отбора подписывается усиленной квалифицированной электронной подписью председателя комиссии и членов комиссии в системе «Электронный бюджет» и размещается на едином портале не позднее одног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рабочего дня, следующего за днем его подписания.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30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казанного протокола в порядке, аналогичном порядку его формирования, установленному пунктом 29 настоящего Порядка, с указанием причин внесения таких изменений.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В течение пяти рабочих дней после опубликования протокола подведения итогов отбора Министер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принимается решение о предоставлении субсидии либо об отказе в предоставлении субсидии, которое утверждается руководителем Министерства (или уполномоченным им лицом).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субсидии являются: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ставленных получателем субсидии документов требованиям, установленным пунктом 13 настоящего Порядка, или непредставление (представление не в полном объеме) указанных документов; 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установление факта недостоверности представленной получателем субсидии 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ормации;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получателя субсидии требованиям, установленным в пункте 10 настоящего Порядка.</w:t>
      </w:r>
    </w:p>
    <w:p w:rsidR="0046785C" w:rsidRDefault="0046785C">
      <w:pPr>
        <w:pStyle w:val="ConsPlusNormal"/>
        <w:ind w:firstLine="540"/>
        <w:jc w:val="both"/>
        <w:rPr>
          <w:sz w:val="28"/>
          <w:szCs w:val="28"/>
        </w:rPr>
      </w:pPr>
    </w:p>
    <w:p w:rsidR="0046785C" w:rsidRDefault="00EF5BE7">
      <w:pPr>
        <w:suppressAutoHyphens w:val="0"/>
        <w:spacing w:before="16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Порядок заключения соглашений и перечисления субсидии</w:t>
      </w:r>
    </w:p>
    <w:p w:rsidR="0046785C" w:rsidRDefault="0046785C">
      <w:pPr>
        <w:pStyle w:val="ConsPlusNormal"/>
        <w:jc w:val="both"/>
        <w:rPr>
          <w:sz w:val="28"/>
          <w:szCs w:val="28"/>
        </w:rPr>
      </w:pP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Предоставление субсидии осуществляется на основании соглашения, заключаемого между Ми</w:t>
      </w:r>
      <w:r>
        <w:rPr>
          <w:sz w:val="28"/>
          <w:szCs w:val="28"/>
        </w:rPr>
        <w:t>нистерством и победителем отбора в пятидневный срок, исчисляемый в рабочих днях, со дня принятия решения о предоставлении субсидии в соответствии с типовой формой, утвержденной Министерством финансов Республики Татарстан, в форме электронного документа в с</w:t>
      </w:r>
      <w:r>
        <w:rPr>
          <w:sz w:val="28"/>
          <w:szCs w:val="28"/>
        </w:rPr>
        <w:t>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В случае если победителем отбора не произведено подписание соглашения в срок, указанный в пункте 33 н</w:t>
      </w:r>
      <w:r>
        <w:rPr>
          <w:sz w:val="28"/>
          <w:szCs w:val="28"/>
        </w:rPr>
        <w:t>астоящего Порядка, он считается уклонившимся от заключения соглашения.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В соглашении предусматривается условие о согласовании новых условий соглашения или о расторжении соглашения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случае уменьшения Министерс</w:t>
      </w:r>
      <w:r>
        <w:rPr>
          <w:sz w:val="28"/>
          <w:szCs w:val="28"/>
        </w:rPr>
        <w:t xml:space="preserve">тву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необходимости Министерство заключает с получателем субсидии дополнительное соглашение к соглашению, в том чи</w:t>
      </w:r>
      <w:r>
        <w:rPr>
          <w:sz w:val="28"/>
          <w:szCs w:val="28"/>
        </w:rPr>
        <w:t>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 При реорганизации получателя субсидии в форме слияния, присоединения или преобразования получатель су</w:t>
      </w:r>
      <w:r>
        <w:rPr>
          <w:sz w:val="28"/>
          <w:szCs w:val="28"/>
        </w:rPr>
        <w:t xml:space="preserve">бсидии в пятидневный срок, исчисляемый в рабочих днях, уведомляет Министерство о завершении процедуры реорганизации. Внесение изменений в соглашение осуществляется путем заключения дополнительного соглашения в части перемены лица в обязательстве в течение </w:t>
      </w:r>
      <w:r>
        <w:rPr>
          <w:sz w:val="28"/>
          <w:szCs w:val="28"/>
        </w:rPr>
        <w:t>30 календарных дней со дня получения Министерством указанного уведомления.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Министерством в одностороннем порядке в систе</w:t>
      </w:r>
      <w:r>
        <w:rPr>
          <w:sz w:val="28"/>
          <w:szCs w:val="28"/>
        </w:rPr>
        <w:t>ме «Электронный бюджет». При расторжении формируются уведомление о расторжении и акт об исполнении обязательств в форме электронных документов, содержащий информацию о неисполненных обязательствах и возврате неиспользованного остатка субсидии в бюджет Респ</w:t>
      </w:r>
      <w:r>
        <w:rPr>
          <w:sz w:val="28"/>
          <w:szCs w:val="28"/>
        </w:rPr>
        <w:t>ублики Татарстан.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 Республики Татарстан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6785C" w:rsidRDefault="00EF5BE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включается условие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предусматривающее ограничение и (или) запрет приобретения получателем субсидии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гражданами, иностранными юридическими лицами. 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Получатель субсидии, лица, получающие средства на основании заключенных с получателем субсидии договоров (соглашений) (за исключением государственных (муниципальных) унитарных предприятий, хозяйственн</w:t>
      </w:r>
      <w:r>
        <w:rPr>
          <w:sz w:val="28"/>
          <w:szCs w:val="28"/>
        </w:rPr>
        <w:t xml:space="preserve">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выражают согласие на осуществление Министерством </w:t>
      </w:r>
      <w:r>
        <w:rPr>
          <w:sz w:val="28"/>
          <w:szCs w:val="28"/>
        </w:rPr>
        <w:t xml:space="preserve">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0" w:tooltip="&quot;Бюджетный кодекс Российской Федерации&quot; от 31.07.1998 N 145-ФЗ (ред. от 28.12.2025, с изм. от 31.03.2026) {КонсультантПлюс}">
        <w:r>
          <w:rPr>
            <w:sz w:val="28"/>
            <w:szCs w:val="28"/>
          </w:rPr>
          <w:t>статьями 268.1</w:t>
        </w:r>
      </w:hyperlink>
      <w:r>
        <w:rPr>
          <w:sz w:val="28"/>
          <w:szCs w:val="28"/>
        </w:rPr>
        <w:t xml:space="preserve"> и </w:t>
      </w:r>
      <w:hyperlink r:id="rId11" w:tooltip="&quot;Бюджетный кодекс Российской Федерации&quot; от 31.07.1998 N 145-ФЗ (ред. от 28.12.2025, с изм. от 31.03.2026) {КонсультантПлюс}">
        <w:r>
          <w:rPr>
            <w:sz w:val="28"/>
            <w:szCs w:val="28"/>
          </w:rPr>
          <w:t>269.2</w:t>
        </w:r>
      </w:hyperlink>
      <w:r>
        <w:rPr>
          <w:sz w:val="28"/>
          <w:szCs w:val="28"/>
        </w:rPr>
        <w:t xml:space="preserve"> Бюджетного кодекса Российск</w:t>
      </w:r>
      <w:r>
        <w:rPr>
          <w:sz w:val="28"/>
          <w:szCs w:val="28"/>
        </w:rPr>
        <w:t>ой Федерации и на включение таких положений в соглашение (при предоставлении субсидии на финансовое обеспечение затрат).</w:t>
      </w:r>
      <w:bookmarkStart w:id="10" w:name="P208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39. Министерство отказывается от заключения соглашения с победителем отбора в случае обнаружения факта несоответствия победителя отбора</w:t>
      </w:r>
      <w:r>
        <w:rPr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  <w:bookmarkEnd w:id="10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 Министерство перечисляет субсидию на счета, открытые получателем субсидии в учреждениях Центрального банка Российской Федерации или</w:t>
      </w:r>
      <w:r>
        <w:rPr>
          <w:sz w:val="28"/>
          <w:szCs w:val="28"/>
        </w:rPr>
        <w:t xml:space="preserve"> кредитных организациях, в 10-дневный срок, исчисляемый в рабочих днях, со дня </w:t>
      </w:r>
      <w:r>
        <w:rPr>
          <w:bCs/>
          <w:sz w:val="28"/>
          <w:szCs w:val="28"/>
        </w:rPr>
        <w:t>заключения соглашения.</w:t>
      </w:r>
    </w:p>
    <w:p w:rsidR="0046785C" w:rsidRDefault="0046785C">
      <w:pPr>
        <w:pStyle w:val="ConsPlusNormal"/>
        <w:ind w:firstLine="540"/>
        <w:jc w:val="both"/>
        <w:rPr>
          <w:sz w:val="28"/>
          <w:szCs w:val="28"/>
        </w:rPr>
      </w:pPr>
    </w:p>
    <w:p w:rsidR="0046785C" w:rsidRDefault="00EF5BE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Порядок представления отчетности, осуществления</w:t>
      </w:r>
    </w:p>
    <w:p w:rsidR="0046785C" w:rsidRDefault="00EF5BE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 (мониторинга) за соблюдением условий и порядка</w:t>
      </w:r>
    </w:p>
    <w:p w:rsidR="0046785C" w:rsidRDefault="00EF5BE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субсидии и ответственность з</w:t>
      </w:r>
      <w:r>
        <w:rPr>
          <w:b/>
          <w:sz w:val="28"/>
          <w:szCs w:val="28"/>
        </w:rPr>
        <w:t>а их нарушение</w:t>
      </w:r>
    </w:p>
    <w:p w:rsidR="0046785C" w:rsidRDefault="0046785C">
      <w:pPr>
        <w:pStyle w:val="ConsPlusNormal"/>
        <w:ind w:firstLine="540"/>
        <w:jc w:val="both"/>
        <w:rPr>
          <w:sz w:val="28"/>
          <w:szCs w:val="28"/>
        </w:rPr>
      </w:pP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Получатель субсидии ежеквартально, не позднее 10-го рабочего дня, следующего за отчетным кварталом, представляет в Министерство отчет об осуществлении расходов, источником финансового обеспечения которых является субсидия (при </w:t>
      </w:r>
      <w:r>
        <w:rPr>
          <w:sz w:val="28"/>
          <w:szCs w:val="28"/>
        </w:rPr>
        <w:t>предоставлении субсидии на финансовое обеспечение затрат), и отчет о достижении значений результатов предоставления субсидии, составленные по формам, прилагаемым к типовым формам соглашений, установленным Министерством финансов Республики Татарстан.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 Ми</w:t>
      </w:r>
      <w:r>
        <w:rPr>
          <w:sz w:val="28"/>
          <w:szCs w:val="28"/>
        </w:rPr>
        <w:t>нистерство осуществляет проверку представленных получателем субсидии отчетов, предусмотренных пунктом 41 настоящего Порядка, не позднее 25 рабочих дней с даты их получения.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несет ответственность в соответствии с законодательством Россий</w:t>
      </w:r>
      <w:r>
        <w:rPr>
          <w:sz w:val="28"/>
          <w:szCs w:val="28"/>
        </w:rPr>
        <w:t>ской Федерации за недостоверность представляемых сведений и нецелевое использование субсидии.</w:t>
      </w:r>
      <w:bookmarkStart w:id="11" w:name="P219"/>
      <w:bookmarkEnd w:id="11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В случае нарушения получателем субсидии условий, установленных при предоставлении субсидии, или установления факта представления получателем субсидии недостов</w:t>
      </w:r>
      <w:r>
        <w:rPr>
          <w:sz w:val="28"/>
          <w:szCs w:val="28"/>
        </w:rPr>
        <w:t>ерной информации, содержащейся в представленных документах, выявленных в том числе по фактам проведенных Министерством и органами государственного финансового контроля проверок, средства субсидии подлежат возврату в бюджет Республики Татарстан в полном объ</w:t>
      </w:r>
      <w:r>
        <w:rPr>
          <w:sz w:val="28"/>
          <w:szCs w:val="28"/>
        </w:rPr>
        <w:t>еме.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получателем субсидии значений результатов предоставления субсидии, установленных соглашением, средства субсидии подлежат возврату в бюджет Республики Татарстан в полном объеме.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Министерство обеспечивает возврат средств субсидии </w:t>
      </w:r>
      <w:r>
        <w:rPr>
          <w:sz w:val="28"/>
          <w:szCs w:val="28"/>
        </w:rPr>
        <w:t>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средств с</w:t>
      </w:r>
      <w:r>
        <w:rPr>
          <w:sz w:val="28"/>
          <w:szCs w:val="28"/>
        </w:rPr>
        <w:t>убсидии в бюджет Республики Татарстан, требования о возврате средств субсидии в течение 10 календарных дней со дня получения указанного требования.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Остатки средств субсидии на финансовое обеспечение затрат, не </w:t>
      </w:r>
      <w:r>
        <w:rPr>
          <w:sz w:val="28"/>
          <w:szCs w:val="28"/>
        </w:rPr>
        <w:lastRenderedPageBreak/>
        <w:t xml:space="preserve">использованные по состоянию на 31 декабря </w:t>
      </w:r>
      <w:r>
        <w:rPr>
          <w:sz w:val="28"/>
          <w:szCs w:val="28"/>
        </w:rPr>
        <w:t>текущего года, подлежат возврату получателем субсидии в доход бюджета Республики Татарстан до              1 февраля года, следующего за годом предоставления субсидии, в порядке, установленном соглашением.</w:t>
      </w:r>
      <w:bookmarkStart w:id="12" w:name="P226"/>
      <w:bookmarkEnd w:id="12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потребности в направлении средств, не исп</w:t>
      </w:r>
      <w:r>
        <w:rPr>
          <w:sz w:val="28"/>
          <w:szCs w:val="28"/>
        </w:rPr>
        <w:t>ользованных в отчетном финансовом году, на цели, указанные в пункте 3 настоящего 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не поздне</w:t>
      </w:r>
      <w:r>
        <w:rPr>
          <w:sz w:val="28"/>
          <w:szCs w:val="28"/>
        </w:rPr>
        <w:t xml:space="preserve">е 10 календарных дней со дня получения от получателя субсидии информации, указанной в абзаце втором настоящего пункта, принимает в соответствии с бюджетным законодательством решение о наличии или об отсутствии потребности получателя субсидии в направлении </w:t>
      </w:r>
      <w:r>
        <w:rPr>
          <w:sz w:val="28"/>
          <w:szCs w:val="28"/>
        </w:rPr>
        <w:t>в текущем финансовом году остатка субсидии, не использованного в отчетном финансовом году.</w:t>
      </w:r>
      <w:bookmarkStart w:id="13" w:name="P228"/>
      <w:bookmarkEnd w:id="13"/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Министерством решения о наличии потребности получателя субсидии в направлении в текущем финансовом году остатка субсидии, не использованного в отче</w:t>
      </w:r>
      <w:r>
        <w:rPr>
          <w:sz w:val="28"/>
          <w:szCs w:val="28"/>
        </w:rPr>
        <w:t>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 В случаях нарушения сроков возврата средств субсидии, ос</w:t>
      </w:r>
      <w:r>
        <w:rPr>
          <w:sz w:val="28"/>
          <w:szCs w:val="28"/>
        </w:rPr>
        <w:t xml:space="preserve">татков субсидии, указанных в пунктах 43 и 44 настоящего Порядка, Министерство в 30-дневный срок, исчисляемый в рабочих днях, со дня истечения срока возврата средств субсидии, остатков субсидии принимает меры по взысканию указанных средств в принудительном </w:t>
      </w:r>
      <w:r>
        <w:rPr>
          <w:sz w:val="28"/>
          <w:szCs w:val="28"/>
        </w:rPr>
        <w:t>порядке в соответствии с законодательством Российской Федерации.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установлен</w:t>
      </w:r>
      <w:r>
        <w:rPr>
          <w:sz w:val="28"/>
          <w:szCs w:val="28"/>
        </w:rPr>
        <w:t>ных настоящим Порядком и соглашением.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2" w:tooltip="&quot;Бюджетный кодекс Российской Федерации&quot; от 31.07.1998 N 145-ФЗ (ред. от 28.12.2025, с изм. от 31.03.2026) {КонсультантПлюс}">
        <w:r>
          <w:rPr>
            <w:sz w:val="28"/>
            <w:szCs w:val="28"/>
          </w:rPr>
          <w:t>статьями 268.1</w:t>
        </w:r>
      </w:hyperlink>
      <w:r>
        <w:rPr>
          <w:sz w:val="28"/>
          <w:szCs w:val="28"/>
        </w:rPr>
        <w:t xml:space="preserve"> и </w:t>
      </w:r>
      <w:hyperlink r:id="rId13" w:tooltip="&quot;Бюджетный кодекс Российской Федерации&quot; от 31.07.1998 N 145-ФЗ (ред. от 28.12.2025, с изм. от 31.03.2026) {КонсультантПлюс}">
        <w:r>
          <w:rPr>
            <w:sz w:val="28"/>
            <w:szCs w:val="28"/>
          </w:rPr>
          <w:t>269.2</w:t>
        </w:r>
      </w:hyperlink>
      <w:r>
        <w:rPr>
          <w:sz w:val="28"/>
          <w:szCs w:val="28"/>
        </w:rPr>
        <w:t xml:space="preserve"> Бюджетного кодекса Российской Федерации.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 Мониторинг достижения значений результатов предоставления субсидии, определенных соглаш</w:t>
      </w:r>
      <w:r>
        <w:rPr>
          <w:sz w:val="28"/>
          <w:szCs w:val="28"/>
        </w:rPr>
        <w:t>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определенным в соответствии с установленным Министерством финансо</w:t>
      </w:r>
      <w:r>
        <w:rPr>
          <w:sz w:val="28"/>
          <w:szCs w:val="28"/>
        </w:rPr>
        <w:t>в Российской Федерации порядком проведения мониторинга достижения результатов предоставления субсидий.</w:t>
      </w:r>
    </w:p>
    <w:p w:rsidR="0046785C" w:rsidRDefault="00EF5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46785C" w:rsidRDefault="0046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785C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MS Gothic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655F"/>
    <w:multiLevelType w:val="multilevel"/>
    <w:tmpl w:val="8D1A9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4A0066"/>
    <w:multiLevelType w:val="multilevel"/>
    <w:tmpl w:val="DE90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5C"/>
    <w:rsid w:val="0046785C"/>
    <w:rsid w:val="00E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D964D-1966-479A-B884-E101F3F0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513"/>
    <w:rPr>
      <w:color w:val="0000FF"/>
      <w:u w:val="single"/>
    </w:rPr>
  </w:style>
  <w:style w:type="character" w:styleId="a4">
    <w:name w:val="Strong"/>
    <w:basedOn w:val="a0"/>
    <w:uiPriority w:val="22"/>
    <w:qFormat/>
    <w:rsid w:val="00CF322B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Содержимое таблицы"/>
    <w:basedOn w:val="a"/>
    <w:qFormat/>
    <w:rsid w:val="00232685"/>
    <w:pPr>
      <w:widowControl w:val="0"/>
      <w:suppressLineNumbers/>
      <w:spacing w:after="200" w:line="276" w:lineRule="auto"/>
    </w:pPr>
  </w:style>
  <w:style w:type="paragraph" w:styleId="ab">
    <w:name w:val="Normal (Web)"/>
    <w:basedOn w:val="a"/>
    <w:uiPriority w:val="99"/>
    <w:unhideWhenUsed/>
    <w:qFormat/>
    <w:rsid w:val="0027251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65AAC"/>
    <w:pPr>
      <w:widowControl w:val="0"/>
    </w:pPr>
    <w:rPr>
      <w:rFonts w:ascii="Times New Roman" w:eastAsia="DejaVu Sans" w:hAnsi="Times New Roman" w:cs="Times New Roman"/>
      <w:sz w:val="24"/>
      <w:szCs w:val="20"/>
      <w:lang w:eastAsia="ru-RU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6283&amp;dst=100038&amp;field=134&amp;date=23.04.2026" TargetMode="External"/><Relationship Id="rId13" Type="http://schemas.openxmlformats.org/officeDocument/2006/relationships/hyperlink" Target="https://login.consultant.ru/link/?req=doc&amp;base=LAW&amp;n=495710&amp;date=22.04.2026&amp;dst=372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96008&amp;dst=100037&amp;field=134&amp;date=23.04.2026" TargetMode="External"/><Relationship Id="rId12" Type="http://schemas.openxmlformats.org/officeDocument/2006/relationships/hyperlink" Target="https://login.consultant.ru/link/?req=doc&amp;base=LAW&amp;n=495710&amp;date=22.04.2026&amp;dst=3704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96239&amp;dst=100012&amp;field=134&amp;date=20.04.2026" TargetMode="External"/><Relationship Id="rId11" Type="http://schemas.openxmlformats.org/officeDocument/2006/relationships/hyperlink" Target="https://login.consultant.ru/link/?req=doc&amp;base=LAW&amp;n=495710&amp;date=22.04.2026&amp;dst=3722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&amp;date=22.04.2026&amp;dst=37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96283&amp;dst=100084&amp;field=134&amp;date=23.04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25D6-FA7A-40AC-BDB7-08186E3D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6341</Words>
  <Characters>36146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Шайхинурова Лиана Рифатовна</dc:creator>
  <dc:description/>
  <cp:lastModifiedBy>Шайхинурова Лиана Рифатовна</cp:lastModifiedBy>
  <cp:revision>2</cp:revision>
  <cp:lastPrinted>2026-04-24T13:13:00Z</cp:lastPrinted>
  <dcterms:created xsi:type="dcterms:W3CDTF">2026-05-13T10:40:00Z</dcterms:created>
  <dcterms:modified xsi:type="dcterms:W3CDTF">2026-05-13T10:40:00Z</dcterms:modified>
  <dc:language>ru-RU</dc:language>
</cp:coreProperties>
</file>