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left="8496" w:right="142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государственной услуги по выдаче 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numPr>
          <w:ilvl w:val="0"/>
          <w:numId w:val="22"/>
        </w:numPr>
        <w:ind w:left="0" w:right="142" w:firstLine="708"/>
        <w:jc w:val="both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прилагаемый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вступление в брак лицам, не достигшим возраста 16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Признать утратившими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силу приказы Министерства образования и науки Республики Татарстан: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30.07.2019 № под-1074/19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по выдаче разрешения на вступление в брак лицу (лицам), не достигшему(им) возрас</w:t>
      </w:r>
      <w:r>
        <w:rPr>
          <w:rFonts w:ascii="Times New Roman" w:hAnsi="Times New Roman" w:cs="Times New Roman"/>
          <w:sz w:val="28"/>
          <w:szCs w:val="28"/>
        </w:rPr>
        <w:t xml:space="preserve">та шестнадцати лет»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18.11.2020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под-1210</w:t>
      </w:r>
      <w:r>
        <w:rPr>
          <w:rFonts w:ascii="Times New Roman" w:hAnsi="Times New Roman" w:cs="Times New Roman"/>
          <w:sz w:val="28"/>
          <w:szCs w:val="28"/>
        </w:rPr>
        <w:t xml:space="preserve">/20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изменений в Административный регламент предоставления государственной услуги по выдаче разрешения на вступление в брак лицу (лицам), не достигшему(им) возраста шестнадцати лет, утвержденный прика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зом Министерства образования и науки Республики Татарстан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30.07.2019 № под – 1074/19»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03.11.2021 №под-1412/21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изменения в Административный регламент предоставления государственной услуги по выдаче разрешения на </w:t>
      </w:r>
      <w:r>
        <w:rPr>
          <w:rFonts w:ascii="Times New Roman" w:hAnsi="Times New Roman" w:cs="Times New Roman"/>
          <w:sz w:val="28"/>
          <w:szCs w:val="28"/>
        </w:rPr>
        <w:t xml:space="preserve">вступление в брак лицу (лица</w:t>
      </w:r>
      <w:r>
        <w:rPr>
          <w:rFonts w:ascii="Times New Roman" w:hAnsi="Times New Roman" w:cs="Times New Roman"/>
          <w:sz w:val="28"/>
          <w:szCs w:val="28"/>
        </w:rPr>
        <w:t xml:space="preserve">м), не достигшему(им) возраста шестнадцати лет, утвержденный приказом Министерства образования и науки Республики Татарстан от 30.07.2019 № под-1074/19»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И.о.министра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Р.Г.Музипов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6600"/>
        <w:spacing w:after="0" w:line="240" w:lineRule="auto"/>
        <w:widowControl w:val="off"/>
        <w:tabs>
          <w:tab w:val="left" w:pos="694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-334010</wp:posOffset>
                </wp:positionV>
                <wp:extent cx="236220" cy="175260"/>
                <wp:effectExtent l="0" t="0" r="11430" b="15240"/>
                <wp:wrapNone/>
                <wp:docPr id="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6219" cy="1752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60800;o:allowoverlap:true;o:allowincell:true;mso-position-horizontal-relative:text;margin-left:246.90pt;mso-position-horizontal:absolute;mso-position-vertical-relative:text;margin-top:-26.30pt;mso-position-vertical:absolute;width:18.60pt;height:13.80pt;mso-wrap-distance-left:9.00pt;mso-wrap-distance-top:0.00pt;mso-wrap-distance-right:9.00pt;mso-wrap-distance-bottom:0.00pt;visibility:visible;" fillcolor="#FFFFFF" strokecolor="#FFFFFF" strokeweight="2.00pt"/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приказом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Министерства образования 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480" w:firstLine="14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науки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600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__________№___________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Административный регламент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предоставления государственной услуги по выдаче разрешения на вступление в брак лицу (лицам), не достигшему(им) возраста шестнадцати лет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выдаче разрешения на вступление в брак лицу (лицам), не достигшему(им) возраста шестнадцати лет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государственная услуга).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лица в возрасте от четырнадцати до шестнадцати лет, имеющим место жительства в Республике Татарстан (далее - лицо (лица), не достигшее (не достигшие) возраста шестнадцати лет).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родители или лица, их заменяющие (усыновители, попечители).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Государственная услуга предоставляется заявителю в соответствии с категориями (признаками) заявителей,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ведения о которых размещаются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федеральной государственной информационно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й системе «Единый портал государственных и муниципальных услуг (функций)» 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Идентификаторы категорий (признаков) заявителей определяются в соответствии с приложением № 2 к 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1_648"/>
        <w:contextualSpacing/>
        <w:jc w:val="center"/>
        <w:rPr>
          <w:b w:val="0"/>
          <w:highlight w:val="white"/>
          <w:lang w:val="ru-RU"/>
        </w:rPr>
      </w:pPr>
      <w:r>
        <w:rPr>
          <w:b w:val="0"/>
          <w:szCs w:val="28"/>
          <w:highlight w:val="white"/>
          <w:lang w:val="ru-RU"/>
        </w:rPr>
        <w:t xml:space="preserve"> </w:t>
      </w:r>
      <w:r>
        <w:rPr>
          <w:b w:val="0"/>
          <w:highlight w:val="white"/>
          <w:lang w:val="ru-RU"/>
        </w:rPr>
      </w:r>
      <w:r>
        <w:rPr>
          <w:b w:val="0"/>
          <w:highlight w:val="white"/>
          <w:lang w:val="ru-RU"/>
        </w:rPr>
      </w:r>
    </w:p>
    <w:p>
      <w:pPr>
        <w:pStyle w:val="1_648"/>
        <w:contextualSpacing/>
        <w:jc w:val="center"/>
        <w:rPr>
          <w:bCs/>
          <w:lang w:val="ru-RU"/>
        </w:rPr>
      </w:pPr>
      <w:r>
        <w:rPr>
          <w:bCs/>
          <w:szCs w:val="28"/>
          <w:highlight w:val="white"/>
          <w:lang w:val="ru-RU"/>
        </w:rPr>
        <w:t xml:space="preserve">2. Стандарт предоставления государственной услуги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1_648"/>
        <w:contextualSpacing/>
        <w:jc w:val="center"/>
        <w:rPr>
          <w:bCs/>
          <w:highlight w:val="white"/>
          <w:lang w:val="ru-RU"/>
        </w:rPr>
      </w:pP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  <w:r>
        <w:rPr>
          <w:bCs/>
          <w:highlight w:val="white"/>
          <w:lang w:val="ru-RU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разрешения на вступление в брак лицу (лицам), не достигшему(им) возраста шестнадцати лет.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Орган, ответственный за предоставление государственной услуги – Министерство образования и науки Республики Татарстан (далее - Министерство)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 Результат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2.3.1.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государственной услуги являю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о предоставлении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государственной услуги по выдаче разрешения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вступление в брак лицу (лицам), не достигшему(им) возраста шестнадцати лет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(приложение № 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регламенту);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приказ об отказе в предоставлении государственной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(п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риложение № 8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регламенту).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в форме электронного документа по адресу электронной почты и (или) в личный кабинет заявителя на Едином портале (при наличии технической возможности), в республиканской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МФЦ в форме экземпляра электронного документа, направленного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распечатанного на бумажном носителе, заверенного печатью МФЦ и подписью работника МФЦ;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Государственная услуга предоставляется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или на Республиканском портале,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предоставляется в срок, не превышающий 15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2.4.5. Максимальный срок предоставления государственной услуги с учетом категории (признаков) заявителя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запроса заявителя о предоставлении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Обеспечивается передача запроса и прилагаемых документов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Министерство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порядке и сроки, установленные соглашением о взаимодействии между органом опеки и попечительства и МФЦ.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запрос и прилагаемые документы, поступившие из МФЦ, регистрируются в день поступления.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При направлении запроса посредством Единого портала (при наличии технической возможности), Республиканского портала заявитель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день регистрации запроса получает в личном кабинете на Едином портале (при наличии технической возможности), на Республиканском портале уведомление, подтверждающее, что запрос отправлен, в котором указываются регистрационный номер и дата подачи запроса.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регистрация запроса осуществляется в день поступления запроса. 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2.8.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 к помещениям, в которых предоста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вляется государственная услуга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требован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иях к помещениям, в которых предоставляется государственная услуга, размещается на официальном сайте Министерства в информационно-телекоммуникационной сети «Интернет», в МФЦ, на Едином портале (при наличии технической возможности), Республиканском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center"/>
        <w:spacing w:after="0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/>
        <w:shd w:val="clear" w:color="ffffff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показателях доступности и качества предоставлении Услуги размещается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телекоммуникационной сети «Интернет», в МФЦ, а также на Едином портале (при наличии технической возможности), Республиканском портале.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учитыв</w:t>
      </w:r>
      <w:r>
        <w:rPr>
          <w:rFonts w:ascii="Times New Roman" w:hAnsi="Times New Roman" w:cs="Times New Roman"/>
          <w:sz w:val="28"/>
          <w:szCs w:val="28"/>
        </w:rPr>
        <w:t xml:space="preserve">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outlineLvl w:val="0"/>
      </w:pPr>
      <w:r/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2.10.1. Государственная услуга может быть осуществлена через МФЦ.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«Единая централизованная цифрова</w:t>
      </w:r>
      <w:r>
        <w:rPr>
          <w:rFonts w:ascii="Times New Roman" w:hAnsi="Times New Roman" w:cs="Times New Roman"/>
          <w:sz w:val="28"/>
          <w:szCs w:val="28"/>
        </w:rPr>
        <w:t xml:space="preserve">я платформа в социальной сфере»;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межведомственного электронного взаимоде</w:t>
      </w:r>
      <w:r>
        <w:rPr>
          <w:rFonts w:ascii="Times New Roman" w:hAnsi="Times New Roman" w:cs="Times New Roman"/>
          <w:sz w:val="28"/>
          <w:szCs w:val="28"/>
        </w:rPr>
        <w:t xml:space="preserve">йствия».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Запись заявителей на прием в МФЦ (далее -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 в порядке очередности.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фамилию, имя, отчество (при наличии);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номер телефона;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(по желанию);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желаемую дату и время приема.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</w:t>
      </w:r>
      <w:r>
        <w:rPr>
          <w:rFonts w:ascii="Times New Roman" w:hAnsi="Times New Roman" w:cs="Times New Roman"/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2.10.5. Особенности предоставления государственной услуги в электронной форме.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2.10.5.1. При предоставлении государственной услуги в электронной форме заявитель вправе: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 части 1 стат</w:t>
      </w:r>
      <w:r>
        <w:rPr>
          <w:rFonts w:ascii="Times New Roman" w:hAnsi="Times New Roman" w:cs="Times New Roman"/>
          <w:sz w:val="28"/>
          <w:szCs w:val="28"/>
        </w:rPr>
        <w:t xml:space="preserve">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 ((при наличии технической возможности), Республиканского портала;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3) получить сведения о ходе выполнения запросов о предоставлении государственной услуги, поданных в электронной форме;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4) осуществить оценку качества предоставления государственной услуги;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5) получить результат предоставления государственной услуги в форме электронного документа;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6) подать жалобу на решение и действие (бездействие)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процесс досудебного (внесудеб</w:t>
      </w:r>
      <w:r>
        <w:rPr>
          <w:rFonts w:ascii="Times New Roman" w:hAnsi="Times New Roman" w:cs="Times New Roman"/>
          <w:sz w:val="28"/>
          <w:szCs w:val="28"/>
        </w:rPr>
        <w:t xml:space="preserve">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2.10.5.2. Формирование запроса осуществляется посредством заполнения электронной формы заявления на Едином портале (при наличии технической возможности), Республиканском портале без необходимости дополнительной подачи запроса в какой-либо иной форме.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2.10.5.3. При формировании запроса обеспечивается: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1) возможность копирования и сохранения запросов и иных документов, необходимых для предоставления услуги;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2) возможность печати на бумажном носителе копии электронной формы заявления;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3)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4) заполнение полей электронной фор</w:t>
      </w:r>
      <w:r>
        <w:rPr>
          <w:rFonts w:ascii="Times New Roman" w:hAnsi="Times New Roman" w:cs="Times New Roman"/>
          <w:sz w:val="28"/>
          <w:szCs w:val="28"/>
        </w:rPr>
        <w:t xml:space="preserve">мы заявления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возможности), Республиканском портале, в части, касающейся сведений, отсутствующих в ЕСИА;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5) возможность вернуться на любой из этапов заполнения электронной формы заявления без потери ранее введенной информации;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6) 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</w:t>
      </w:r>
      <w:r>
        <w:rPr>
          <w:rFonts w:ascii="Times New Roman" w:hAnsi="Times New Roman" w:cs="Times New Roman"/>
          <w:sz w:val="28"/>
          <w:szCs w:val="28"/>
        </w:rPr>
        <w:t xml:space="preserve">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</w:t>
      </w:r>
      <w:r>
        <w:rPr>
          <w:rFonts w:ascii="Times New Roman" w:hAnsi="Times New Roman" w:cs="Times New Roman"/>
          <w:sz w:val="28"/>
          <w:szCs w:val="28"/>
        </w:rPr>
        <w:t xml:space="preserve">лию, имя, отчество (последнее –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результата государственной услуги за</w:t>
      </w:r>
      <w:r>
        <w:rPr>
          <w:rFonts w:ascii="Times New Roman" w:hAnsi="Times New Roman" w:cs="Times New Roman"/>
          <w:sz w:val="28"/>
          <w:szCs w:val="28"/>
        </w:rPr>
        <w:t xml:space="preserve">конному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 регистрации запроса и документов, поданных заявителем.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2.10.8.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</w:t>
      </w:r>
      <w:r>
        <w:rPr>
          <w:rFonts w:ascii="Times New Roman" w:hAnsi="Times New Roman" w:cs="Times New Roman"/>
          <w:sz w:val="28"/>
          <w:szCs w:val="28"/>
        </w:rPr>
        <w:t xml:space="preserve">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 Исчерпывающий перечень документов, необходимых для предоставления государственной услуги</w:t>
      </w:r>
      <w:r/>
      <w:r/>
    </w:p>
    <w:p>
      <w:pPr>
        <w:contextualSpacing/>
        <w:ind w:firstLine="567"/>
        <w:jc w:val="both"/>
        <w:spacing w:after="0"/>
        <w:outlineLvl w:val="0"/>
      </w:pPr>
      <w:r/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2.11.1. В таблице 2 приложения № 2 к настоящему Регламенту приведен исчерпывающий перечень документов, необходимых для предоставления Услуги, с разделением на: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Сведения о формах запроса и документов, необходимых для предоставления услуги, приведены в приложении № 2 к настоящему Регламенту.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Запрос, подаваемый на бумажном носителе, подается по формам согласно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приложению №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Регламенту, подписывается заявителем собственноручно.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Запрос, подаваемый в электронной форме, заполняется посредством внесения соответствующих сведений в интерактивную форму, подпис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ывается в соответствии с требованиями Федерального закона от 6 апреля 2011 года № 63-ФЗ «Об электронной подписи» (далее – Федеральный закон № 63-ФЗ), при обращении посредством Единого портала (при наличии технической возможности), Республиканского портала.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Бланк запроса для получения государственной услуги заявитель может получить при личном обращении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Электронная форма бланка запроса размещена на официальном сайте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№ 63-ФЗ.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запроса посредством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Единого портала (при наличии технической возможности), Республиканского портала заявитель в день подачи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подтверждающее, что запрос отправлен, в котором указываются регистрационный номер и дата подачи запроса.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подаче документов, предусмотренных пункто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электронной подписью в соответс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лично;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почтовым отправл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ением с уведомлением о вручении.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Подаются оригиналы и копии документов (оригиналы после сверки возвращаются), возможен прием нотариально заверенных копий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567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  <w:highlight w:val="green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 Исчерпывающий перечень основан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green"/>
        </w:rPr>
      </w:r>
    </w:p>
    <w:p>
      <w:pPr>
        <w:contextualSpacing/>
        <w:ind w:firstLine="567"/>
        <w:jc w:val="both"/>
        <w:spacing w:after="0"/>
        <w:outlineLvl w:val="0"/>
      </w:pPr>
      <w:r/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3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Регламенту.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Основания для отказа в приеме запроса и документов, необходимых для предоставления государственной услуги: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представление неполного комплекта документов, указанных в пункте 2.11.1 настоящего Регламента;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обращение за предоставлением иной государственной услуги;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 документы, указанные в пункте 2.11.1 настоящего Регламента, представленные Заявителем, утратили силу;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6) некорректное заполнение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7) 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9) 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проса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11) достижение заявителем возраста на момент принятия решения, при котором получение государственной услуги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 отказе в приеме запроса и документов, необходимых для получения государственной услуги, с указанием </w:t>
      </w:r>
      <w:r>
        <w:rPr>
          <w:rFonts w:ascii="Times New Roman" w:hAnsi="Times New Roman" w:cs="Times New Roman"/>
          <w:sz w:val="28"/>
          <w:szCs w:val="28"/>
        </w:rPr>
        <w:t xml:space="preserve">причин отказа, оформляется в соот</w:t>
      </w:r>
      <w:r>
        <w:rPr>
          <w:rFonts w:ascii="Times New Roman" w:hAnsi="Times New Roman" w:cs="Times New Roman"/>
          <w:sz w:val="28"/>
          <w:szCs w:val="28"/>
        </w:rPr>
        <w:t xml:space="preserve">ветствии с формой,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7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Регламенту, подписывается в установленном порядке уполномоченным должностным лицом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направляется заявителю выбранным им способом: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на бумажном носителе, при личном посещении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через МФЦ.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2.12.3. Запрещается отказывать в предоставлении государственной услуги в случае, 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сли запрос о предоставлении государственной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2.12.4. Основания для приостановления государственной услуги отсутствуют.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2.12.5. Основания для отказа в предоставлении государственной услуги: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выявление в представленных документах недостоверных сведений; 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обращение с документами лица, не указанного в пункте 1.2 настоящего Регламента.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2.12.6. В случае отказа в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нормативными правовыми актами требований, несоответствие которым повлекло отказ в предоставлении государственной услуги.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2.12.7.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 отказе в предоставлении государственной услуги, с указанием причин отказа, оформляется в соо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тветствии с формой, установленной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8</w:t>
      </w:r>
      <w:r>
        <w:rPr>
          <w:rFonts w:ascii="Times New Roman" w:hAnsi="Times New Roman" w:cs="Times New Roman"/>
          <w:sz w:val="28"/>
          <w:szCs w:val="28"/>
        </w:rPr>
        <w:t xml:space="preserve"> к Регламенту, подписывается в установленном порядке уполномоченным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должностным лицом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 направляется заявителю выбранным им способом: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1) на бумажном носителе, при личном посещении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/>
      <w:r/>
    </w:p>
    <w:p>
      <w:pPr>
        <w:contextualSpacing/>
        <w:ind w:firstLine="567"/>
        <w:jc w:val="both"/>
        <w:spacing w:after="0"/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в электронной форме, подписанную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/>
      <w:r/>
    </w:p>
    <w:p>
      <w:pPr>
        <w:contextualSpacing/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center"/>
        <w:spacing w:after="0" w:line="57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3. Состав, последовательность и сроки выполнения административных процедур</w:t>
      </w:r>
      <w:r>
        <w:rPr>
          <w:b/>
        </w:rPr>
      </w:r>
      <w:r>
        <w:rPr>
          <w:b/>
        </w:rPr>
      </w:r>
    </w:p>
    <w:p>
      <w:pPr>
        <w:jc w:val="both"/>
        <w:spacing w:after="0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3.1.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</w:t>
      </w:r>
      <w:r>
        <w:rPr>
          <w:rFonts w:ascii="Times New Roman" w:hAnsi="Times New Roman" w:cs="Times New Roman"/>
          <w:sz w:val="28"/>
          <w:szCs w:val="28"/>
        </w:rPr>
        <w:t xml:space="preserve">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</w:t>
      </w:r>
      <w:r>
        <w:rPr>
          <w:rFonts w:ascii="Times New Roman" w:hAnsi="Times New Roman" w:cs="Times New Roman"/>
          <w:sz w:val="28"/>
          <w:szCs w:val="28"/>
        </w:rPr>
        <w:t xml:space="preserve">уги), административной процедуры,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</w:t>
      </w:r>
      <w:r>
        <w:rPr>
          <w:rFonts w:ascii="Times New Roman" w:hAnsi="Times New Roman" w:cs="Times New Roman"/>
          <w:sz w:val="28"/>
          <w:szCs w:val="28"/>
        </w:rPr>
        <w:t xml:space="preserve">роцедуры получения дополнительных сведений от заявителя, административной процедуры приостановления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3.2. Перечень осуществляемых при предоставлении государственной услуги административных процедур: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1) профилирование заявителя;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3) межведомственное информационное взаимодействие;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4) принятие решения о предоставлении (об отказе в предоставлении) государственной услуги;</w:t>
      </w:r>
      <w:r/>
      <w:r/>
    </w:p>
    <w:p>
      <w:pPr>
        <w:ind w:firstLine="708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5) предоставление результата государственной услуги.</w:t>
      </w:r>
      <w:r/>
      <w:r/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Государственная услуга в упреждающем (</w:t>
      </w:r>
      <w:r>
        <w:rPr>
          <w:rFonts w:ascii="Times New Roman" w:hAnsi="Times New Roman" w:cs="Times New Roman"/>
          <w:sz w:val="28"/>
          <w:szCs w:val="28"/>
        </w:rPr>
        <w:t xml:space="preserve">проактивном</w:t>
      </w:r>
      <w:r>
        <w:rPr>
          <w:rFonts w:ascii="Times New Roman" w:hAnsi="Times New Roman" w:cs="Times New Roman"/>
          <w:sz w:val="28"/>
          <w:szCs w:val="28"/>
        </w:rPr>
        <w:t xml:space="preserve">) режиме не предоставляется.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государственной услуги; о рассмотрении запроса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Единого портала;</w:t>
      </w: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Республиканского портала;</w:t>
      </w: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почтового отправления по адресу, указанному заявителем;</w:t>
      </w:r>
      <w:r/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вручением лично при непосредственном обращении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/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</w:t>
      </w:r>
      <w:hyperlink r:id="rId12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ам, не достигшим возраста 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«Единая система межведомственного элек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тронного взаимодействия» - СМЭВ;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осударственная информационная система «Единая централизованная цифровая платформа в социальной сфере» - ГИС ЕЦП;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Министерство образования и науки Республики Татарстан – Министерство;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Федеральный закон от 27 июля 2010 года № 210-ФЗ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</w:t>
      </w:r>
      <w:hyperlink r:id="rId13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ам, не достигшим возраста 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735"/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4110"/>
        <w:gridCol w:w="3969"/>
        <w:gridCol w:w="1667"/>
      </w:tblGrid>
      <w:tr>
        <w:tblPrEx/>
        <w:trPr/>
        <w:tc>
          <w:tcPr>
            <w:tcW w:w="3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39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разрешения на вступление в брак лицам, не достигшим возраста 16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лица в возрасте от четырнадцати до шестнадцати лет, имеющие место жительства в Республике Татарстан (далее - лицо (лица), не достигшее (не достигшие) возраста шестнадцати лет).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6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720"/>
        </w:trPr>
        <w:tc>
          <w:tcPr>
            <w:tcW w:w="391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1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родители или лица, их заменяющие (усыновители, попечители).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166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Таблица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2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right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1800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5"/>
        <w:tblW w:w="1683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4819"/>
        <w:gridCol w:w="3120"/>
        <w:gridCol w:w="3117"/>
        <w:gridCol w:w="3543"/>
      </w:tblGrid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речень документов, необходимых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13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удостоверяющий личность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vAlign w:val="center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 иных обстоятельствах – документы, подтверждающие непосредственную угрозу жизни одной из сторон;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согласие законных представителей несовершеннолетнего (при наличии)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при наличии беременности свыше 22 недель – справку из женской консультации по месту наблюдения беременной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1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1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92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сведения, подтверждающие обучение несовершеннолетнего (из общеобразовательных организаций по месту обучения несовершеннолетнего)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рождении ребенка – справка из медицинской организации;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2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видетельств</w:t>
            </w:r>
            <w:r>
              <w:rPr>
                <w:sz w:val="28"/>
                <w:szCs w:val="28"/>
              </w:rPr>
              <w:t xml:space="preserve">о об установлении отцовства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из органов ЗАГС</w:t>
            </w:r>
            <w:r>
              <w:rPr>
                <w:sz w:val="28"/>
                <w:szCs w:val="28"/>
                <w:highlight w:val="white"/>
              </w:rPr>
              <w:t xml:space="preserve">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gridAfter w:val="2"/>
          <w:trHeight w:val="24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19" w:type="dxa"/>
            <w:vAlign w:val="center"/>
            <w:textDirection w:val="lrTb"/>
            <w:noWrap w:val="false"/>
          </w:tcPr>
          <w:p>
            <w:pPr>
              <w:pStyle w:val="892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системы «Опека и попечительство»)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МФЦ, Республиканский портал, Единый портал (при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наличии технической возможности)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Приложение №3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 </w:t>
      </w:r>
      <w:hyperlink r:id="rId14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4"/>
            <w:szCs w:val="24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предоставления государственной услуги по выдаче разрешения на вступление в брак лиц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ам, не достигшим возраста 16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1"/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right="-1" w:firstLine="709"/>
        <w:jc w:val="center"/>
        <w:spacing w:after="0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4"/>
          <w:szCs w:val="24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735"/>
        <w:tblW w:w="0" w:type="auto"/>
        <w:tblLook w:val="04A0" w:firstRow="1" w:lastRow="0" w:firstColumn="1" w:lastColumn="0" w:noHBand="0" w:noVBand="1"/>
      </w:tblPr>
      <w:tblGrid>
        <w:gridCol w:w="669"/>
        <w:gridCol w:w="2255"/>
        <w:gridCol w:w="727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Идентификатор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Расшифровка видов документов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предоставляемых заявителем, кол-во документов из группы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104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contextualSpacing/>
              <w:jc w:val="both"/>
              <w:spacing w:after="0"/>
              <w:rPr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сведений;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7"/>
        </w:trPr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42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Основания для отказа в приеме запроса и доку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необходимых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представление неполного комплекта документов, указанных в пункте 2.11.1 настоящего Регламента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обращение за предоставлением иной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документы, указанные в пункте 2.11.1 настоящего Регламента, представленные Заявителем, утратили силу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некорректное заполнение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обязательных полей в форме интерактивного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электронных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запроса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47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</w:t>
      </w:r>
      <w:hyperlink r:id="rId15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ам, не достигшим возраста 16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102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Рекомендуемая форма запроса,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2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подаваемого несовершеннолетним,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1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 достигшим возраста 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(примерная форма)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Министру образования и науки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jc w:val="both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46"/>
        <w:jc w:val="center"/>
        <w:rPr>
          <w:rFonts w:ascii="Times New Roman" w:hAnsi="Times New Roman" w:cs="Times New Roman"/>
          <w:b/>
          <w:bCs/>
        </w:rPr>
      </w:pPr>
      <w:r>
        <w:rPr>
          <w:rStyle w:val="1_644"/>
          <w:rFonts w:ascii="Times New Roman" w:hAnsi="Times New Roman" w:eastAsia="Times New Roman" w:cs="Times New Roman"/>
          <w:bCs/>
          <w:color w:val="auto"/>
        </w:rPr>
        <w:t xml:space="preserve">Запрос на предоставление государственной услуги по выдаче разрешения на вступление в брак лицам, не достигшим возраста 16 лет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r/>
      <w:r/>
      <w:r/>
    </w:p>
    <w:p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Прошу разрешить мне вступить в брак с гражданином (гражданкой) ________________________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__________________________________________________________________________________,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                 (Ф.И.О., дата рождения, данные документа, удостоверяющего личность)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проживающим(-ей) по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адресу:_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связи с наличием особого обстоятельства (ненужное вычеркнуть):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- беременностью: 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                       (указать медицинскую организацию, в которой установлена беременность либо в которой заявитель состоит на учете);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- рождением ребенка у лиц, желающих вступить в брак: 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spacing w:after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Результат предоставления государственной услуги прошу представить/направить 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лично, посредством  заказного почтового отправления,  через  многофункциональный  центр  предоставления государственных и муниципальных услуг, Единый портал (при наличии технической возможности), через Республиканский портал - выбрать нужное).</w:t>
      </w:r>
      <w:r/>
      <w:r/>
    </w:p>
    <w:p>
      <w:pPr>
        <w:spacing w:after="0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Подтверждаю достоверность представленной информации.</w:t>
      </w:r>
      <w:r/>
      <w:r/>
    </w:p>
    <w:p>
      <w:pPr>
        <w:pStyle w:val="1_646"/>
      </w:pPr>
      <w:r>
        <w:rPr>
          <w:rFonts w:ascii="Times New Roman" w:hAnsi="Times New Roman" w:eastAsia="Times New Roman" w:cs="Times New Roman"/>
        </w:rPr>
        <w:t xml:space="preserve">Я предупрежден(а) об ответственности за представление недостоверных или</w:t>
      </w:r>
      <w:r/>
      <w:r/>
    </w:p>
    <w:p>
      <w:pPr>
        <w:pStyle w:val="1_646"/>
      </w:pPr>
      <w:r>
        <w:rPr>
          <w:rFonts w:ascii="Times New Roman" w:hAnsi="Times New Roman" w:eastAsia="Times New Roman" w:cs="Times New Roman"/>
        </w:rPr>
        <w:t xml:space="preserve">неполных сведений.</w:t>
      </w:r>
      <w:r/>
      <w:r/>
    </w:p>
    <w:p>
      <w:pPr>
        <w:pStyle w:val="1_646"/>
      </w:pPr>
      <w:r>
        <w:rPr>
          <w:rFonts w:ascii="Times New Roman" w:hAnsi="Times New Roman" w:eastAsia="Times New Roman" w:cs="Times New Roman"/>
        </w:rPr>
        <w:t xml:space="preserve">Приложение:</w:t>
      </w:r>
      <w:r/>
      <w:r/>
    </w:p>
    <w:p>
      <w:pPr>
        <w:pStyle w:val="1_646"/>
      </w:pPr>
      <w:r>
        <w:rPr>
          <w:rFonts w:ascii="Times New Roman" w:hAnsi="Times New Roman" w:eastAsia="Times New Roman" w:cs="Times New Roman"/>
        </w:rPr>
        <w:t xml:space="preserve">1._____________________________________________________________________    2.______________________________________</w:t>
      </w:r>
      <w:r>
        <w:rPr>
          <w:rFonts w:ascii="Times New Roman" w:hAnsi="Times New Roman" w:eastAsia="Times New Roman" w:cs="Times New Roman"/>
        </w:rPr>
        <w:t xml:space="preserve">_______________________________    3._____________________________________________________________________    4._____________________________________________________________________    5._____________________________________________________________________</w:t>
      </w:r>
      <w:r/>
      <w:r/>
    </w:p>
    <w:p>
      <w:pPr>
        <w:pStyle w:val="1_646"/>
      </w:pPr>
      <w:r>
        <w:rPr>
          <w:rFonts w:ascii="Times New Roman" w:hAnsi="Times New Roman" w:eastAsia="Times New Roman" w:cs="Times New Roman"/>
        </w:rPr>
        <w:t xml:space="preserve">_____________ 20 __ года                                  ________________________________</w:t>
      </w:r>
      <w:r/>
      <w:r/>
    </w:p>
    <w:p>
      <w:pPr>
        <w:pStyle w:val="1_6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(подпись/ расшифровка </w:t>
      </w:r>
      <w:r>
        <w:rPr>
          <w:rFonts w:ascii="Times New Roman" w:hAnsi="Times New Roman" w:eastAsia="Times New Roman" w:cs="Times New Roman"/>
        </w:rPr>
        <w:t xml:space="preserve">подписи)   </w:t>
      </w:r>
      <w:r>
        <w:rPr>
          <w:rFonts w:ascii="Times New Roman" w:hAnsi="Times New Roman" w:eastAsia="Times New Roman" w:cs="Times New Roman"/>
        </w:rPr>
        <w:t xml:space="preserve">  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_646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1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№5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 </w:t>
      </w:r>
      <w:hyperlink r:id="rId16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ам, не достигшим возраста 16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10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Рекомендуемая форма запроса,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подаваемого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родителем (опекуном)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несовершеннолетнего,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1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не достигшим возраста 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Министру образования и науки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 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(страховой номер индивидуального лицевого счета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(почтовый адрес заявителя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адрес электронной почты - по желанию заявителя)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contextualSpacing/>
        <w:ind w:left="5528"/>
        <w:spacing w:after="0" w:line="283" w:lineRule="atLeast"/>
        <w:rPr>
          <w:rFonts w:ascii="Times New Roman" w:hAnsi="Times New Roman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cs="Times New Roman"/>
          <w:sz w:val="26"/>
        </w:rPr>
      </w:r>
      <w:r>
        <w:rPr>
          <w:rFonts w:ascii="Times New Roman" w:hAnsi="Times New Roman" w:cs="Times New Roman"/>
          <w:sz w:val="26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Согласие законных представителей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на вступление в брак лицам, не достигшим возраста 16 лет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Я, 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____________________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____________________________________________________________ (ФИО (последнее – при наличии) законного представителя),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документ, удостоверяющий личность (серия, номер) ______________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3"/>
          <w:lang w:eastAsia="ru-RU"/>
        </w:rPr>
        <w:t xml:space="preserve">_____________________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(кем и когда выдан) ___________________________________________________________________________________,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проживающий(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) по адресу: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3"/>
          <w:lang w:eastAsia="ru-RU"/>
        </w:rPr>
        <w:t xml:space="preserve">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__________________________,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даю согласие на вступление в брак моего сына (дочери), подопечного (ой) ____________________________________________________________________________________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(ФИО (последнее - при наличии) полностью, дата рождения)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до достижения возраста шестнадцати лет с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__________________________________________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__________________________________________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(ФИО (последнее – при наличии), дата рождения)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3"/>
          <w:lang w:eastAsia="ru-RU"/>
        </w:rPr>
        <w:t xml:space="preserve">_» _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 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г. </w:t>
      </w:r>
      <w:r>
        <w:rPr>
          <w:rFonts w:ascii="Times New Roman" w:hAnsi="Times New Roman" w:eastAsia="Times New Roman" w:cs="Times New Roman"/>
          <w:b/>
          <w:bCs/>
          <w:sz w:val="24"/>
          <w:szCs w:val="23"/>
          <w:lang w:eastAsia="ru-RU"/>
        </w:rPr>
        <w:t xml:space="preserve">________________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 (подпись)</w: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br w:type="page" w:clear="all"/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7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ам, не достигшим возраста 16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Форма приказа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предоставлении государственной услуги «Выдача разрешения на вступление в брак лицам, не достигшим возраста 16 лет»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от___________20__                                                                                    №___________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(ФИО (последнее – при наличии) заявителя)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документов, на основании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Гражданского кодекса Российской Федерации,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Семейного кодекса Российской Федерации, Семейного кодекса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принято решение от_________№_____ предоставить государственную услугу по выдаче разрешения на вступление в брак лицам, не достигшим возраста 16 лет.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4656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5680" behindDoc="1" locked="0" layoutInCell="1" allowOverlap="1">
                <wp:simplePos x="0" y="0"/>
                <wp:positionH relativeFrom="page">
                  <wp:posOffset>5798820</wp:posOffset>
                </wp:positionH>
                <wp:positionV relativeFrom="paragraph">
                  <wp:posOffset>133985</wp:posOffset>
                </wp:positionV>
                <wp:extent cx="1325880" cy="632460"/>
                <wp:effectExtent l="0" t="0" r="26670" b="1524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_645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-251655680;o:allowoverlap:true;o:allowincell:true;mso-position-horizontal-relative:page;margin-left:456.60pt;mso-position-horizontal:absolute;mso-position-vertical-relative:text;margin-top:10.5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_645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3"/>
        </w:rPr>
      </w:pP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  <w:r>
        <w:rPr>
          <w:rFonts w:ascii="Times New Roman" w:hAnsi="Times New Roman" w:cs="Times New Roman"/>
          <w:bCs/>
          <w:sz w:val="24"/>
          <w:szCs w:val="23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8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лицам, не достигшим возраста 16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Форма приказа об отказе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приеме документов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</w:t>
      </w:r>
      <w:r/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(наименование уполномоченного органа)</w:t>
      </w:r>
      <w:r/>
      <w:r/>
    </w:p>
    <w:p>
      <w:pPr>
        <w:ind w:left="6236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Кому____________________</w:t>
      </w:r>
      <w:r/>
      <w:r/>
    </w:p>
    <w:p>
      <w:pPr>
        <w:ind w:left="6236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Контактные данные______________</w:t>
      </w:r>
      <w:r/>
      <w:r/>
    </w:p>
    <w:p>
      <w:pPr>
        <w:jc w:val="center"/>
        <w:spacing w:after="0" w:line="240" w:lineRule="auto"/>
      </w:pPr>
      <w:r/>
      <w:r/>
      <w:r/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от___________20                                                                                                      №___________</w:t>
      </w:r>
      <w:r/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запроса____________________________________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от___________№_______и</w:t>
      </w:r>
      <w:r>
        <w:rPr>
          <w:rFonts w:ascii="Times New Roman" w:hAnsi="Times New Roman" w:cs="Times New Roman"/>
          <w:sz w:val="28"/>
          <w:szCs w:val="28"/>
        </w:rPr>
        <w:t xml:space="preserve"> приложенных к не</w:t>
      </w:r>
      <w:r>
        <w:rPr>
          <w:rFonts w:ascii="Times New Roman" w:hAnsi="Times New Roman" w:cs="Times New Roman"/>
          <w:sz w:val="28"/>
          <w:szCs w:val="28"/>
        </w:rPr>
        <w:t xml:space="preserve">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отказать в приеме документов, необходимых для предоставления услуги, по </w:t>
      </w:r>
      <w:r>
        <w:rPr>
          <w:rFonts w:ascii="Times New Roman" w:hAnsi="Times New Roman" w:cs="Times New Roman"/>
          <w:sz w:val="28"/>
          <w:szCs w:val="28"/>
        </w:rPr>
        <w:t xml:space="preserve">основанию:_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4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6704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8752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_645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-251658752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_645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3"/>
          <w:lang w:eastAsia="ru-RU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416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5102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 </w:t>
      </w:r>
      <w:hyperlink r:id="rId19" w:tooltip="https://mobileonline.garant.ru/#/document/74972584/entry/1015" w:anchor="/document/74972584/entry/1015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Административному регламенту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предоставления государственной услуги по выдаче разрешения на вступление в брак лицам, не достигшим возраста 16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Форма приказа об отказе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Кому__________________________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Контактные данные______________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812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результатам рассмотрения запроса 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ФИО заявителя (последнее при наличии)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от______________№______________ и приложенных к нему документов, на основании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Гражданского кодекса Российской Федерации, Семейного кодекса Российской Федерации, Семейного кодекса Республики Татарстан, принято решение от_________№_____ отказать в предоставлении государственной услуги, по основанию:____________________________________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__________________________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(указывается в том числе перечень документов и информаци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и, отсутствие 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  <w:r/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(дата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19050" b="19050"/>
                <wp:wrapNone/>
                <wp:docPr id="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5" o:spid="_x0000_s5" style="position:absolute;left:0;text-align:left;z-index:251657728;mso-wrap-distance-left:9.00pt;mso-wrap-distance-top:0.00pt;mso-wrap-distance-right:9.00pt;mso-wrap-distance-bottom:0.00pt;visibility:visible;" from="157.5pt,2.1pt" to="523.5pt,2.1pt" filled="f" strokecolor="#000000" strokeweight="0.50pt">
                <v:stroke dashstyle="solid"/>
              </v:lin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cs="Times New Roman"/>
          <w:bCs/>
          <w:sz w:val="24"/>
          <w:szCs w:val="28"/>
        </w:rPr>
      </w:r>
      <w:r>
        <w:rPr>
          <w:rFonts w:ascii="Times New Roman" w:hAnsi="Times New Roman" w:cs="Times New Roman"/>
          <w:bCs/>
          <w:sz w:val="24"/>
          <w:szCs w:val="28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776" behindDoc="1" locked="0" layoutInCell="1" allowOverlap="1">
                <wp:simplePos x="0" y="0"/>
                <wp:positionH relativeFrom="page">
                  <wp:posOffset>5878830</wp:posOffset>
                </wp:positionH>
                <wp:positionV relativeFrom="paragraph">
                  <wp:posOffset>227965</wp:posOffset>
                </wp:positionV>
                <wp:extent cx="1325880" cy="632460"/>
                <wp:effectExtent l="0" t="0" r="26670" b="15240"/>
                <wp:wrapNone/>
                <wp:docPr id="7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32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_645"/>
                              <w:rPr>
                                <w:rFonts w:eastAsia="SimSu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  <w:t xml:space="preserve">Сведения об электронной </w:t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  <w:r>
                              <w:rPr>
                                <w:rFonts w:eastAsia="SimSun"/>
                                <w:sz w:val="23"/>
                                <w:szCs w:val="23"/>
                              </w:rPr>
                            </w:r>
                          </w:p>
                          <w:p>
                            <w:r>
                              <w:rPr>
                                <w:rFonts w:ascii="Times New Roman" w:hAnsi="Times New Roman" w:eastAsia="SimSun" w:cs="Times New Roman"/>
                                <w:color w:val="000000"/>
                                <w:sz w:val="23"/>
                                <w:szCs w:val="23"/>
                                <w:lang w:eastAsia="ru-RU"/>
                              </w:rPr>
                              <w:t xml:space="preserve">подписи </w:t>
                            </w:r>
                            <w:r/>
                            <w: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202" type="#_x0000_t202" style="position:absolute;z-index:-251659776;o:allowoverlap:true;o:allowincell:true;mso-position-horizontal-relative:page;margin-left:462.90pt;mso-position-horizontal:absolute;mso-position-vertical-relative:text;margin-top:17.95pt;mso-position-vertical:absolute;width:104.40pt;height:49.80pt;mso-wrap-distance-left:9.00pt;mso-wrap-distance-top:3.60pt;mso-wrap-distance-right:9.00pt;mso-wrap-distance-bottom:3.60pt;v-text-anchor:top;visibility:visible;" fillcolor="#FFFFFF" strokecolor="#000000" strokeweight="0.75pt">
                <v:textbox inset="0,0,0,0">
                  <w:txbxContent>
                    <w:p>
                      <w:pPr>
                        <w:pStyle w:val="1_645"/>
                        <w:rPr>
                          <w:rFonts w:eastAsia="SimSun"/>
                          <w:sz w:val="23"/>
                          <w:szCs w:val="23"/>
                        </w:rPr>
                      </w:pPr>
                      <w:r>
                        <w:rPr>
                          <w:rFonts w:eastAsia="SimSun"/>
                          <w:sz w:val="23"/>
                          <w:szCs w:val="23"/>
                        </w:rPr>
                        <w:t xml:space="preserve">Сведения об электронной </w:t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  <w:r>
                        <w:rPr>
                          <w:rFonts w:eastAsia="SimSun"/>
                          <w:sz w:val="23"/>
                          <w:szCs w:val="23"/>
                        </w:rPr>
                      </w:r>
                    </w:p>
                    <w:p>
                      <w:r>
                        <w:rPr>
                          <w:rFonts w:ascii="Times New Roman" w:hAnsi="Times New Roman" w:eastAsia="SimSun" w:cs="Times New Roman"/>
                          <w:color w:val="000000"/>
                          <w:sz w:val="23"/>
                          <w:szCs w:val="23"/>
                          <w:lang w:eastAsia="ru-RU"/>
                        </w:rPr>
                        <w:t xml:space="preserve">подписи </w:t>
                      </w: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ФИО (последнее – при наличии) сотрудника органа, уполномоченного на принятие решения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93"/>
        <w:ind w:righ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93"/>
        <w:ind w:right="14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9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fldSimple w:instr="PAGE \* MERGEFORMAT">
      <w:r>
        <w:t xml:space="preserve">1</w:t>
      </w:r>
    </w:fldSimple>
    <w:r/>
    <w:r/>
  </w:p>
  <w:p>
    <w:pPr>
      <w:pStyle w:val="729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9" w:hanging="142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5"/>
  </w:num>
  <w:num w:numId="10">
    <w:abstractNumId w:val="16"/>
  </w:num>
  <w:num w:numId="11">
    <w:abstractNumId w:val="2"/>
  </w:num>
  <w:num w:numId="12">
    <w:abstractNumId w:val="6"/>
  </w:num>
  <w:num w:numId="13">
    <w:abstractNumId w:val="3"/>
  </w:num>
  <w:num w:numId="14">
    <w:abstractNumId w:val="19"/>
  </w:num>
  <w:num w:numId="15">
    <w:abstractNumId w:val="17"/>
  </w:num>
  <w:num w:numId="16">
    <w:abstractNumId w:val="20"/>
  </w:num>
  <w:num w:numId="17">
    <w:abstractNumId w:val="21"/>
  </w:num>
  <w:num w:numId="18">
    <w:abstractNumId w:val="9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7"/>
    <w:link w:val="69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07"/>
    <w:link w:val="723"/>
    <w:uiPriority w:val="11"/>
    <w:rPr>
      <w:sz w:val="24"/>
      <w:szCs w:val="24"/>
    </w:rPr>
  </w:style>
  <w:style w:type="character" w:styleId="39">
    <w:name w:val="Quote Char"/>
    <w:link w:val="725"/>
    <w:uiPriority w:val="29"/>
    <w:rPr>
      <w:i/>
    </w:rPr>
  </w:style>
  <w:style w:type="character" w:styleId="41">
    <w:name w:val="Intense Quote Char"/>
    <w:link w:val="727"/>
    <w:uiPriority w:val="30"/>
    <w:rPr>
      <w:i/>
    </w:rPr>
  </w:style>
  <w:style w:type="character" w:styleId="176">
    <w:name w:val="Footnote Text Char"/>
    <w:link w:val="862"/>
    <w:uiPriority w:val="99"/>
    <w:rPr>
      <w:sz w:val="18"/>
    </w:rPr>
  </w:style>
  <w:style w:type="character" w:styleId="179">
    <w:name w:val="Endnote Text Char"/>
    <w:link w:val="865"/>
    <w:uiPriority w:val="99"/>
    <w:rPr>
      <w:sz w:val="20"/>
    </w:rPr>
  </w:style>
  <w:style w:type="paragraph" w:styleId="697" w:default="1">
    <w:name w:val="Normal"/>
    <w:qFormat/>
    <w:rPr>
      <w:sz w:val="24"/>
      <w:szCs w:val="24"/>
      <w:lang w:eastAsia="ru-RU"/>
    </w:rPr>
  </w:style>
  <w:style w:type="paragraph" w:styleId="698">
    <w:name w:val="Heading 1"/>
    <w:basedOn w:val="697"/>
    <w:next w:val="697"/>
    <w:link w:val="883"/>
    <w:qFormat/>
    <w:pPr>
      <w:jc w:val="right"/>
      <w:keepNext/>
      <w:outlineLvl w:val="0"/>
    </w:pPr>
    <w:rPr>
      <w:b/>
      <w:sz w:val="28"/>
      <w:szCs w:val="20"/>
      <w:lang w:val="en-US" w:eastAsia="en-US"/>
    </w:rPr>
  </w:style>
  <w:style w:type="paragraph" w:styleId="699">
    <w:name w:val="Heading 2"/>
    <w:basedOn w:val="697"/>
    <w:next w:val="697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1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3">
    <w:name w:val="Heading 6"/>
    <w:basedOn w:val="697"/>
    <w:next w:val="697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Заголовок 2 Знак"/>
    <w:link w:val="699"/>
    <w:uiPriority w:val="9"/>
    <w:rPr>
      <w:rFonts w:ascii="Arial" w:hAnsi="Arial" w:eastAsia="Arial" w:cs="Arial"/>
      <w:sz w:val="34"/>
    </w:rPr>
  </w:style>
  <w:style w:type="character" w:styleId="712" w:customStyle="1">
    <w:name w:val="Заголовок 3 Знак"/>
    <w:link w:val="700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Заголовок 4 Знак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Заголовок 5 Знак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Заголовок 6 Знак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Заголовок 7 Знак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Заголовок 8 Знак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Заголовок 9 Знак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697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rPr>
      <w:rFonts w:eastAsia="Calibri"/>
      <w:sz w:val="28"/>
      <w:szCs w:val="22"/>
      <w:lang w:eastAsia="en-US"/>
    </w:rPr>
  </w:style>
  <w:style w:type="paragraph" w:styleId="721">
    <w:name w:val="Title"/>
    <w:basedOn w:val="697"/>
    <w:link w:val="889"/>
    <w:qFormat/>
    <w:pPr>
      <w:jc w:val="center"/>
    </w:pPr>
    <w:rPr>
      <w:b/>
      <w:sz w:val="27"/>
      <w:szCs w:val="20"/>
      <w:lang w:val="en-US" w:eastAsia="en-US"/>
    </w:rPr>
  </w:style>
  <w:style w:type="character" w:styleId="722" w:customStyle="1">
    <w:name w:val="Title Char"/>
    <w:uiPriority w:val="10"/>
    <w:rPr>
      <w:sz w:val="48"/>
      <w:szCs w:val="48"/>
    </w:rPr>
  </w:style>
  <w:style w:type="paragraph" w:styleId="723">
    <w:name w:val="Subtitle"/>
    <w:basedOn w:val="697"/>
    <w:next w:val="697"/>
    <w:link w:val="724"/>
    <w:uiPriority w:val="11"/>
    <w:qFormat/>
    <w:pPr>
      <w:spacing w:before="200" w:after="200"/>
    </w:pPr>
  </w:style>
  <w:style w:type="character" w:styleId="724" w:customStyle="1">
    <w:name w:val="Подзаголовок Знак"/>
    <w:link w:val="723"/>
    <w:uiPriority w:val="11"/>
    <w:rPr>
      <w:sz w:val="24"/>
      <w:szCs w:val="24"/>
    </w:rPr>
  </w:style>
  <w:style w:type="paragraph" w:styleId="725">
    <w:name w:val="Quote"/>
    <w:basedOn w:val="697"/>
    <w:next w:val="697"/>
    <w:link w:val="726"/>
    <w:uiPriority w:val="29"/>
    <w:qFormat/>
    <w:pPr>
      <w:ind w:left="720" w:right="720"/>
    </w:pPr>
    <w:rPr>
      <w:i/>
    </w:rPr>
  </w:style>
  <w:style w:type="character" w:styleId="726" w:customStyle="1">
    <w:name w:val="Цитата 2 Знак"/>
    <w:link w:val="725"/>
    <w:uiPriority w:val="29"/>
    <w:rPr>
      <w:i/>
    </w:rPr>
  </w:style>
  <w:style w:type="paragraph" w:styleId="727">
    <w:name w:val="Intense Quote"/>
    <w:basedOn w:val="697"/>
    <w:next w:val="697"/>
    <w:link w:val="7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 w:customStyle="1">
    <w:name w:val="Выделенная цитата Знак"/>
    <w:link w:val="727"/>
    <w:uiPriority w:val="30"/>
    <w:rPr>
      <w:i/>
    </w:rPr>
  </w:style>
  <w:style w:type="paragraph" w:styleId="729">
    <w:name w:val="Header"/>
    <w:basedOn w:val="697"/>
    <w:link w:val="88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0" w:customStyle="1">
    <w:name w:val="Header Char"/>
    <w:uiPriority w:val="99"/>
  </w:style>
  <w:style w:type="paragraph" w:styleId="731">
    <w:name w:val="Footer"/>
    <w:basedOn w:val="697"/>
    <w:link w:val="88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2" w:customStyle="1">
    <w:name w:val="Footer Char"/>
    <w:uiPriority w:val="99"/>
  </w:style>
  <w:style w:type="paragraph" w:styleId="733">
    <w:name w:val="Caption"/>
    <w:basedOn w:val="697"/>
    <w:next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>
    <w:name w:val="Table Grid"/>
    <w:basedOn w:val="708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1">
    <w:name w:val="Hyperlink"/>
    <w:rPr>
      <w:color w:val="0000ff"/>
      <w:u w:val="single"/>
    </w:rPr>
  </w:style>
  <w:style w:type="paragraph" w:styleId="862">
    <w:name w:val="footnote text"/>
    <w:basedOn w:val="697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697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697"/>
    <w:next w:val="697"/>
    <w:uiPriority w:val="39"/>
    <w:unhideWhenUsed/>
    <w:pPr>
      <w:spacing w:after="57"/>
    </w:pPr>
  </w:style>
  <w:style w:type="paragraph" w:styleId="869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0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1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2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3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4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5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76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697"/>
    <w:next w:val="697"/>
    <w:uiPriority w:val="99"/>
    <w:unhideWhenUsed/>
  </w:style>
  <w:style w:type="paragraph" w:styleId="879">
    <w:name w:val="Balloon Text"/>
    <w:basedOn w:val="697"/>
    <w:semiHidden/>
    <w:rPr>
      <w:rFonts w:ascii="Tahoma" w:hAnsi="Tahoma" w:cs="Tahoma"/>
      <w:sz w:val="16"/>
      <w:szCs w:val="16"/>
    </w:rPr>
  </w:style>
  <w:style w:type="character" w:styleId="880" w:customStyle="1">
    <w:name w:val="Верхний колонтитул Знак"/>
    <w:link w:val="729"/>
    <w:rPr>
      <w:sz w:val="24"/>
      <w:szCs w:val="24"/>
    </w:rPr>
  </w:style>
  <w:style w:type="character" w:styleId="881" w:customStyle="1">
    <w:name w:val="Нижний колонтитул Знак"/>
    <w:link w:val="731"/>
    <w:rPr>
      <w:sz w:val="24"/>
      <w:szCs w:val="24"/>
    </w:rPr>
  </w:style>
  <w:style w:type="character" w:styleId="882">
    <w:name w:val="Placeholder Text"/>
    <w:uiPriority w:val="99"/>
    <w:semiHidden/>
    <w:rPr>
      <w:color w:val="808080"/>
    </w:rPr>
  </w:style>
  <w:style w:type="character" w:styleId="883" w:customStyle="1">
    <w:name w:val="Заголовок 1 Знак"/>
    <w:link w:val="698"/>
    <w:rPr>
      <w:b/>
      <w:sz w:val="28"/>
    </w:rPr>
  </w:style>
  <w:style w:type="paragraph" w:styleId="884">
    <w:name w:val="Body Text Indent 2"/>
    <w:basedOn w:val="697"/>
    <w:link w:val="885"/>
    <w:pPr>
      <w:ind w:left="283"/>
      <w:spacing w:after="120" w:line="480" w:lineRule="auto"/>
    </w:pPr>
    <w:rPr>
      <w:lang w:val="en-US" w:eastAsia="en-US"/>
    </w:rPr>
  </w:style>
  <w:style w:type="character" w:styleId="885" w:customStyle="1">
    <w:name w:val="Основной текст с отступом 2 Знак"/>
    <w:link w:val="884"/>
    <w:rPr>
      <w:sz w:val="24"/>
      <w:szCs w:val="24"/>
    </w:rPr>
  </w:style>
  <w:style w:type="paragraph" w:styleId="886">
    <w:name w:val="Body Text 2"/>
    <w:basedOn w:val="697"/>
    <w:link w:val="887"/>
    <w:pPr>
      <w:spacing w:after="120" w:line="480" w:lineRule="auto"/>
    </w:pPr>
    <w:rPr>
      <w:lang w:val="en-US" w:eastAsia="en-US"/>
    </w:rPr>
  </w:style>
  <w:style w:type="character" w:styleId="887" w:customStyle="1">
    <w:name w:val="Основной текст 2 Знак"/>
    <w:link w:val="886"/>
    <w:rPr>
      <w:sz w:val="24"/>
      <w:szCs w:val="24"/>
    </w:rPr>
  </w:style>
  <w:style w:type="character" w:styleId="888" w:customStyle="1">
    <w:name w:val="st1"/>
  </w:style>
  <w:style w:type="character" w:styleId="889" w:customStyle="1">
    <w:name w:val="Название Знак"/>
    <w:link w:val="721"/>
    <w:rPr>
      <w:b/>
      <w:sz w:val="27"/>
    </w:rPr>
  </w:style>
  <w:style w:type="character" w:styleId="890" w:customStyle="1">
    <w:name w:val="Основной текст_"/>
    <w:link w:val="891"/>
    <w:rPr>
      <w:sz w:val="26"/>
      <w:szCs w:val="26"/>
      <w:shd w:val="clear" w:color="auto" w:fill="ffffff"/>
    </w:rPr>
  </w:style>
  <w:style w:type="paragraph" w:styleId="891" w:customStyle="1">
    <w:name w:val="Основной текст2"/>
    <w:basedOn w:val="697"/>
    <w:link w:val="890"/>
    <w:pPr>
      <w:spacing w:after="420" w:line="0" w:lineRule="atLeast"/>
      <w:shd w:val="clear" w:color="auto" w:fill="ffffff"/>
    </w:pPr>
    <w:rPr>
      <w:sz w:val="26"/>
      <w:szCs w:val="26"/>
      <w:lang w:val="en-US" w:eastAsia="en-US"/>
    </w:rPr>
  </w:style>
  <w:style w:type="paragraph" w:styleId="892">
    <w:name w:val="Normal (Web)"/>
    <w:basedOn w:val="697"/>
    <w:uiPriority w:val="99"/>
    <w:unhideWhenUsed/>
    <w:pPr>
      <w:spacing w:before="100" w:beforeAutospacing="1" w:after="100" w:afterAutospacing="1"/>
    </w:pPr>
  </w:style>
  <w:style w:type="paragraph" w:styleId="893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sz w:val="22"/>
      <w:lang w:eastAsia="ru-RU"/>
    </w:rPr>
  </w:style>
  <w:style w:type="paragraph" w:styleId="1_648" w:customStyle="1">
    <w:name w:val="Заголовок 11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1_646" w:customStyle="1">
    <w:name w:val="Таблицы (моноширинный)"/>
    <w:basedOn w:val="693"/>
    <w:next w:val="693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44" w:customStyle="1">
    <w:name w:val="Цветовое выделение"/>
    <w:uiPriority w:val="99"/>
    <w:qFormat/>
    <w:rPr>
      <w:b/>
      <w:color w:val="26282f"/>
    </w:rPr>
  </w:style>
  <w:style w:type="paragraph" w:styleId="1_645" w:customStyle="1">
    <w:name w:val="Default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15" Type="http://schemas.openxmlformats.org/officeDocument/2006/relationships/hyperlink" Target="https://mobileonline.garant.ru/" TargetMode="External"/><Relationship Id="rId16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Reanimator Extreme Edition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revision>3</cp:revision>
  <dcterms:created xsi:type="dcterms:W3CDTF">2026-04-16T22:42:00Z</dcterms:created>
  <dcterms:modified xsi:type="dcterms:W3CDTF">2026-05-04T13:10:34Z</dcterms:modified>
  <cp:version>1048576</cp:version>
</cp:coreProperties>
</file>