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false"/>
        <w:bidi w:val="0"/>
        <w:spacing w:lineRule="auto" w:line="240" w:before="0" w:after="0"/>
        <w:ind w:left="0" w:right="0" w:hanging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5101" w:hanging="0"/>
        <w:jc w:val="both"/>
        <w:rPr>
          <w:color w:themeColor="text1"/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</w:rPr>
        <w:t>О внесении изменений в Положение о региональном государственном контроле (надзоре) за соблюдением законодательства об архивном деле, утвержденное постановлением Кабинета Министров Республики Татарстан от 29.09.2021 № 928 «Об утверждении Положения о региональном государственном контроле (надзоре) за соблюдением законодательства об архивном деле»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Внести в Положение о региональном государственном контроле (надзоре) за соблюдением законодательства об архивном деле, утвержденное постановлением Кабинета Министров Республики Татарстан от 29.09.2021 № 928 «Об утверждении Положения о региональном государственном контроле (надзоре) за соблюдением законодательства об архивном деле» (с изменениями, внесенными постановлениями Кабинета Министров Республики Татарстан от 26.01.2022 № 57, от 20.05.2022 № 478, от 18.07.2023 № 854, от 30.10.2023 № 1366, от 18.08.2025 № 619) следующие изменения: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Web"/>
        <w:widowControl w:val="false"/>
        <w:spacing w:before="0" w:after="0"/>
        <w:jc w:val="both"/>
        <w:rPr>
          <w:color w:themeColor="text1"/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ab/>
      </w:r>
      <w:r>
        <w:rPr>
          <w:color w:val="000000" w:themeColor="text1"/>
          <w:sz w:val="28"/>
          <w:szCs w:val="28"/>
          <w:shd w:fill="auto" w:val="clear"/>
        </w:rPr>
        <w:t>пункт 2.2. изложить в следующей редакции:</w:t>
      </w:r>
    </w:p>
    <w:p>
      <w:pPr>
        <w:pStyle w:val="NormalWeb"/>
        <w:widowControl w:val="false"/>
        <w:suppressAutoHyphens w:val="false"/>
        <w:bidi w:val="0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«Госкомархивом ведется учет объектов контроля с использованием в соответствии с статей 17 Федерального закона от 31 июля 2020 года N 248-ФЗ "О государственном контроле (надзоре) и муниципальном контроле в Российской Федерации»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контроля)»;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дополнить пунктом 2.3. следующего содержания:</w:t>
      </w:r>
    </w:p>
    <w:p>
      <w:pPr>
        <w:pStyle w:val="NormalWeb"/>
        <w:widowControl w:val="false"/>
        <w:spacing w:before="0" w:after="0"/>
        <w:ind w:firstLine="709"/>
        <w:jc w:val="both"/>
        <w:rPr>
          <w:highlight w:val="none"/>
          <w:shd w:fill="auto" w:val="clear"/>
        </w:rPr>
      </w:pPr>
      <w:r>
        <w:rPr>
          <w:color w:val="000000" w:themeColor="text1"/>
          <w:sz w:val="28"/>
          <w:szCs w:val="28"/>
          <w:shd w:fill="auto" w:val="clear"/>
        </w:rPr>
        <w:t>«2.3.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 контрольного (надзорного) действия в рамках специального режима государственного  контроля (надзора), предписания об устранении выявленных нарушений оформляются посредством внесения сведений о них в единый реестр 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пункт 4.4.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«4.4. В отношении объектов контроля, отнесенных к следующим категориям риска, в соответствии с пунктом 3.1 настоящего постановления обязательные профилактические визиты осуществляются со следующей периодичностью: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для объектов контроля, отнесенных к категории умеренного риска, - не более одного обязательного профилактического визита в 6 лет</w:t>
      </w:r>
      <w:r>
        <w:rPr>
          <w:rFonts w:cs="Times New Roman" w:ascii="Times New Roman" w:hAnsi="Times New Roman"/>
          <w:strike w:val="false"/>
          <w:dstrike w:val="false"/>
          <w:color w:val="000000" w:themeColor="text1"/>
          <w:sz w:val="28"/>
          <w:szCs w:val="28"/>
          <w:shd w:fill="auto" w:val="clear"/>
          <w:lang w:eastAsia="ru-RU"/>
        </w:rPr>
        <w:t>.»;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Пункт 8.2.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«Составление и оформление предостережения осуществляется не позднее 30 календарных дней со дня получения Госкомархивом сведений о готовящихся нарушениях либо признаках нарушения обязательных требований.»;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пункт 8.5.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 xml:space="preserve">«8.5. Контролируемое лицо вправе после получения предостережения о недопустимости нарушений обязательных требований подать в Госкомархив возражения в отношении указанного предостережения не позднее 30 календарных дней со дня получения им предостережения, </w:t>
      </w:r>
      <w:r>
        <w:rPr>
          <w:rFonts w:cs="Times New Roman" w:ascii="Times New Roman" w:hAnsi="Times New Roman"/>
          <w:color w:val="000000" w:themeColor="text1"/>
          <w:sz w:val="28"/>
          <w:szCs w:val="28"/>
          <w:u w:val="none"/>
          <w:shd w:fill="auto" w:val="clear"/>
          <w:lang w:eastAsia="ru-RU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 xml:space="preserve"> При наличии документов, подтверждающих доводы, на основании которых заявитель не согласен с предостережением, они прилагаются к возражению.»;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пункт 9.3.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«9.3.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мероприятия.»;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пункт 10.7. дополнить абзацем следующего содержания: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начала.»;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пункт 10.18. дополнить абзацем следующего содержания: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  <w:t>«5) К</w:t>
      </w: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>онтролируемое лицо не соответствует критериям, предусмотренным п.10.15. настоящей главы.»;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 xml:space="preserve">пункт 12.3. </w:t>
      </w: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>изложить в следующей редакции:</w:t>
      </w: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>«12.3.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>1) получение письменных объяснений;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>2) истребование документов.».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>пункт 12.9. дополнить следующим содержанием: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>«12.9.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 xml:space="preserve">пункт 15.5. изложить в следующей редакции: 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>«15.5. Жалоба на решения Госкомархива, на действие (бездействие) должностных лиц Госкомархива рассматривается председателем Госкомархива.»;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color w:val="000000" w:themeColor="text1"/>
          <w:sz w:val="28"/>
          <w:szCs w:val="28"/>
          <w:shd w:fill="auto" w:val="clear"/>
          <w:lang w:eastAsia="ru-RU"/>
        </w:rPr>
        <w:t xml:space="preserve">пункт 15.6. изложить в следующей редакции: 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highlight w:val="none"/>
          <w:shd w:fill="auto" w:val="clear"/>
        </w:rPr>
      </w:pPr>
      <w:r>
        <w:rPr>
          <w:rFonts w:eastAsia="NSimSun" w:cs="Times New Roman" w:ascii="Times New Roman" w:hAnsi="Times New Roman"/>
          <w:b w:val="false"/>
          <w:color w:val="000000" w:themeColor="text1"/>
          <w:kern w:val="0"/>
          <w:sz w:val="28"/>
          <w:szCs w:val="28"/>
          <w:shd w:fill="auto" w:val="clear"/>
          <w:lang w:val="ru-RU" w:eastAsia="ru-RU" w:bidi="hi-IN"/>
        </w:rPr>
        <w:t>«15.6. Жалоба на решения, действия (бездействие) председателя и иных должностных лиц Госкомархива рассматриваются председателем Госкомархива.».</w:t>
      </w:r>
    </w:p>
    <w:p>
      <w:pPr>
        <w:pStyle w:val="Normal"/>
        <w:widowControl w:val="false"/>
        <w:spacing w:lineRule="auto" w:line="240" w:before="0" w:after="0"/>
        <w:ind w:left="0" w:right="0" w:firstLine="737"/>
        <w:jc w:val="both"/>
        <w:rPr>
          <w:rFonts w:ascii="Times New Roman" w:hAnsi="Times New Roman" w:eastAsia="NSimSun" w:cs="Times New Roman"/>
          <w:b w:val="false"/>
          <w:color w:val="000000" w:themeColor="text1"/>
          <w:kern w:val="0"/>
          <w:sz w:val="28"/>
          <w:szCs w:val="28"/>
          <w:highlight w:val="none"/>
          <w:shd w:fill="auto" w:val="clear"/>
          <w:lang w:val="ru-RU" w:eastAsia="ru-RU" w:bidi="hi-IN"/>
        </w:rPr>
      </w:pPr>
      <w:r>
        <w:rPr>
          <w:rFonts w:eastAsia="NSimSun" w:cs="Times New Roman" w:ascii="Times New Roman" w:hAnsi="Times New Roman"/>
          <w:b w:val="false"/>
          <w:color w:val="000000" w:themeColor="text1"/>
          <w:kern w:val="0"/>
          <w:sz w:val="28"/>
          <w:szCs w:val="28"/>
          <w:shd w:fill="auto" w:val="clear"/>
          <w:lang w:val="ru-RU" w:eastAsia="ru-RU" w:bidi="hi-IN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eastAsia="NSimSun" w:cs="Times New Roman"/>
          <w:b w:val="false"/>
          <w:color w:val="000000" w:themeColor="text1"/>
          <w:kern w:val="0"/>
          <w:sz w:val="28"/>
          <w:szCs w:val="28"/>
          <w:lang w:val="ru-RU" w:eastAsia="ru-RU" w:bidi="hi-IN"/>
        </w:rPr>
      </w:pPr>
      <w:r>
        <w:rPr>
          <w:rFonts w:eastAsia="NSimSun" w:cs="Times New Roman" w:ascii="Times New Roman" w:hAnsi="Times New Roman"/>
          <w:b w:val="false"/>
          <w:color w:val="000000" w:themeColor="text1"/>
          <w:kern w:val="0"/>
          <w:sz w:val="28"/>
          <w:szCs w:val="28"/>
          <w:lang w:val="ru-RU" w:eastAsia="ru-RU" w:bidi="hi-IN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0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2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Style22"/>
    <w:next w:val="Style18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7" w:customStyle="1">
    <w:name w:val="Верхний колонтитул Знак"/>
    <w:basedOn w:val="DefaultParagraphFont"/>
    <w:qFormat/>
    <w:rPr/>
  </w:style>
  <w:style w:type="character" w:styleId="Style8" w:customStyle="1">
    <w:name w:val="Нижний колонтитул Знак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-">
    <w:name w:val="Hyperlink"/>
    <w:basedOn w:val="DefaultParagraphFont"/>
    <w:rPr>
      <w:color w:val="0000FF"/>
      <w:u w:val="single"/>
    </w:rPr>
  </w:style>
  <w:style w:type="character" w:styleId="Style9" w:customStyle="1">
    <w:name w:val="Основной текст Знак"/>
    <w:basedOn w:val="DefaultParagraphFont"/>
    <w:qFormat/>
    <w:rPr>
      <w:rFonts w:ascii="Calibri" w:hAnsi="Calibri" w:eastAsia="NSimSun" w:cs="Noto Sans Devanagari"/>
      <w:szCs w:val="24"/>
      <w:lang w:eastAsia="zh-CN" w:bidi="hi-IN"/>
    </w:rPr>
  </w:style>
  <w:style w:type="character" w:styleId="Style10" w:customStyle="1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1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12" w:customStyle="1">
    <w:name w:val="Текст сноски Знак"/>
    <w:basedOn w:val="DefaultParagraphFont"/>
    <w:qFormat/>
    <w:rPr>
      <w:sz w:val="20"/>
      <w:szCs w:val="20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Style15" w:customStyle="1">
    <w:name w:val="Тема примечания Знак"/>
    <w:basedOn w:val="Style10"/>
    <w:link w:val="Annotationsubject"/>
    <w:qFormat/>
    <w:rPr>
      <w:b/>
      <w:bCs/>
      <w:sz w:val="20"/>
      <w:szCs w:val="20"/>
    </w:rPr>
  </w:style>
  <w:style w:type="character" w:styleId="Style16" w:customStyle="1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Noto Sans"/>
      <w:sz w:val="28"/>
      <w:szCs w:val="28"/>
    </w:rPr>
  </w:style>
  <w:style w:type="paragraph" w:styleId="Style18">
    <w:name w:val="Body Text"/>
    <w:basedOn w:val="Normal"/>
    <w:link w:val="Style9"/>
    <w:pPr>
      <w:spacing w:before="0" w:after="140"/>
    </w:pPr>
    <w:rPr>
      <w:rFonts w:eastAsia="NSimSun" w:cs="Noto Sans Devanagari"/>
      <w:szCs w:val="24"/>
      <w:lang w:eastAsia="zh-CN" w:bidi="hi-IN"/>
    </w:rPr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1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Noto Sans Devanagari"/>
      <w:sz w:val="28"/>
      <w:szCs w:val="2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23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4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7"/>
    <w:pPr/>
    <w:rPr/>
  </w:style>
  <w:style w:type="paragraph" w:styleId="Style26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Calibri" w:cs="Tahom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Calibri" w:cs="Tahom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8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" w:customStyle="1">
    <w:name w:val="Comment"/>
    <w:basedOn w:val="Normal"/>
    <w:qFormat/>
    <w:pPr>
      <w:spacing w:lineRule="auto" w:line="240" w:before="56" w:after="0"/>
      <w:ind w:left="57" w:right="57" w:hanging="0"/>
    </w:pPr>
    <w:rPr>
      <w:sz w:val="20"/>
      <w:szCs w:val="20"/>
    </w:rPr>
  </w:style>
  <w:style w:type="paragraph" w:styleId="Annotationtext">
    <w:name w:val="annotation text"/>
    <w:basedOn w:val="Normal"/>
    <w:link w:val="Style10"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Style11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30">
    <w:name w:val="Footnote Text"/>
    <w:basedOn w:val="Normal"/>
    <w:link w:val="Style12"/>
    <w:pPr>
      <w:spacing w:lineRule="auto" w:line="240" w:before="0" w:after="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qFormat/>
    <w:pPr/>
    <w:rPr>
      <w:b/>
      <w:bCs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paragraph" w:styleId="Style3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yle34" w:customStyle="1">
    <w:name w:val="Без списка"/>
    <w:qFormat/>
  </w:style>
  <w:style w:type="table" w:styleId="48">
    <w:name w:val="Table Grid"/>
    <w:basedOn w:val="6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9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FC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1" w:themeFillTint="75"/>
      </w:tcPr>
    </w:tblStylePr>
    <w:tblStylePr w:type="band1Vert">
      <w:tblPr/>
      <w:tcPr>
        <w:shd w:val="clear" w:color="FFFFFF" w:fill="AABFE3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</w:style>
  <w:style w:type="table" w:styleId="85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5" w:themeFillTint="75"/>
      </w:tcPr>
    </w:tblStylePr>
    <w:tblStylePr w:type="band1Vert">
      <w:tblPr/>
      <w:tcPr>
        <w:shd w:val="clear" w:color="FFFFFF" w:fill="B4D2EB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</w:style>
  <w:style w:type="table" w:styleId="89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664A9" w:themeColor="accent1" w:themeTint="80" w:themeShade="95"/>
      </w:rPr>
      <w:tblPr/>
    </w:tblStylePr>
    <w:tblStylePr w:type="firstRow">
      <w:rPr>
        <w:b/>
        <w:color w:val="3664A9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664A9" w:themeColor="accent1" w:themeTint="80" w:themeShade="95"/>
      </w:rPr>
      <w:tblPr/>
    </w:tblStylePr>
    <w:tblStylePr w:type="lastRow">
      <w:rPr>
        <w:b/>
        <w:color w:val="3664A9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45D8D" w:themeColor="accent5" w:themeShade="95"/>
      </w:rPr>
      <w:tblPr/>
    </w:tblStylePr>
    <w:tblStylePr w:type="firstRow">
      <w:rPr>
        <w:b/>
        <w:color w:val="245D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tblPr/>
    </w:tblStylePr>
    <w:tblStylePr w:type="lastRow">
      <w:rPr>
        <w:b/>
        <w:color w:val="245D8D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45D8D" w:themeColor="accent5" w:themeShade="95"/>
      </w:rPr>
      <w:tblPr/>
    </w:tblStylePr>
    <w:tblStylePr w:type="firstRow">
      <w:rPr>
        <w:b/>
        <w:color w:val="245D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tblPr/>
    </w:tblStylePr>
    <w:tblStylePr w:type="lastRow">
      <w:rPr>
        <w:b/>
        <w:color w:val="245D8D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664A9"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val="3664A9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664A9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664A9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664A9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664A9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45D8D"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val="245D8D" w:themeColor="accent5" w:themeShade="95"/>
        <w:sz w:val="22"/>
      </w:rPr>
      <w:tblPr/>
    </w:tblStylePr>
    <w:tblStylePr w:type="firstCol">
      <w:pPr>
        <w:jc w:val="right"/>
      </w:pPr>
      <w:rPr>
        <w:i/>
        <w:color w:val="245D8D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45D8D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45D8D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45D8D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CC4E5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4E5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4E5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54374" w:themeColor="accent1" w:themeShade="95"/>
      </w:rPr>
      <w:tblPr/>
    </w:tblStylePr>
    <w:tblStylePr w:type="firstRow">
      <w:rPr>
        <w:b/>
        <w:color w:val="254374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tblPr/>
    </w:tblStylePr>
    <w:tblStylePr w:type="lastRow">
      <w:rPr>
        <w:b/>
        <w:color w:val="254374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2E78B1" w:themeColor="accent5" w:themeTint="9a" w:themeShade="95"/>
      </w:rPr>
      <w:tblPr/>
    </w:tblStylePr>
    <w:tblStylePr w:type="firstRow">
      <w:rPr>
        <w:b/>
        <w:color w:val="2E78B1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E78B1" w:themeColor="accent5" w:themeTint="9a" w:themeShade="95"/>
      </w:rPr>
      <w:tblPr/>
    </w:tblStylePr>
    <w:tblStylePr w:type="lastRow">
      <w:rPr>
        <w:b/>
        <w:color w:val="2E78B1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54374"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val="254374" w:themeColor="accent1" w:themeShade="95"/>
        <w:sz w:val="22"/>
      </w:rPr>
      <w:tblPr/>
    </w:tblStylePr>
    <w:tblStylePr w:type="firstCol">
      <w:pPr>
        <w:jc w:val="right"/>
      </w:pPr>
      <w:rPr>
        <w:i/>
        <w:color w:val="254374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54374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54374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54374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54374" w:themeColor="accent1" w:themeShade="95"/>
        <w:sz w:val="22"/>
      </w:rPr>
      <w:tblPr/>
    </w:tblStylePr>
  </w:style>
  <w:style w:type="table" w:styleId="148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9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50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5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2E78B1"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val="2E78B1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2E78B1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2E78B1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E78B1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2E78B1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E78B1" w:themeColor="accent5" w:themeTint="9a" w:themeShade="95"/>
        <w:sz w:val="22"/>
      </w:rPr>
      <w:tblPr/>
    </w:tblStylePr>
  </w:style>
  <w:style w:type="table" w:styleId="152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3">
    <w:name w:val="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FC8" w:themeFill="accent1" w:themeFillTint="ea"/>
      </w:tcPr>
    </w:tblStylePr>
  </w:style>
  <w:style w:type="table" w:styleId="155">
    <w:name w:val="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</w:style>
  <w:style w:type="table" w:styleId="159">
    <w:name w:val="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FC8" w:themeFill="accent1" w:themeFillTint="ea"/>
      </w:tcPr>
    </w:tblStylePr>
  </w:style>
  <w:style w:type="table" w:styleId="162">
    <w:name w:val="Bordered &amp; Lined - Accent 2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</w:style>
  <w:style w:type="table" w:styleId="166">
    <w:name w:val="Bordered &amp; Lined - Accent 6"/>
    <w:basedOn w:val="6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99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970B7FB1-295E-4CD2-B11A-3686B9AD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Application>LibreOffice/7.5.6.2$Linux_X86_64 LibreOffice_project/50$Build-2</Application>
  <AppVersion>15.0000</AppVersion>
  <Pages>3</Pages>
  <Words>629</Words>
  <Characters>4750</Characters>
  <CharactersWithSpaces>5351</CharactersWithSpaces>
  <Paragraphs>35</Paragraphs>
  <Company>cesi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2025-06-18T12:20:00Z</dcterms:created>
  <dc:creator>Валеева Елена Фердинандовна</dc:creator>
  <dc:description/>
  <dc:language>ru-RU</dc:language>
  <cp:lastModifiedBy/>
  <cp:lastPrinted>2026-04-13T16:13:40Z</cp:lastPrinted>
  <dcterms:modified xsi:type="dcterms:W3CDTF">2026-04-22T09:32:25Z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