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605"/>
        <w:jc w:val="right"/>
        <w:rPr>
          <w:szCs w:val="28"/>
        </w:rPr>
      </w:pPr>
      <w:r>
        <w:rPr>
          <w:szCs w:val="28"/>
        </w:rPr>
        <w:t xml:space="preserve">П</w:t>
      </w:r>
      <w:r>
        <w:rPr>
          <w:szCs w:val="28"/>
        </w:rPr>
        <w:t xml:space="preserve">РОЕКТ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right="605" w:firstLine="540"/>
        <w:jc w:val="center"/>
        <w:rPr>
          <w:szCs w:val="28"/>
        </w:rPr>
      </w:pPr>
      <w:r>
        <w:rPr>
          <w:szCs w:val="28"/>
        </w:rPr>
        <w:t xml:space="preserve">КАБИНЕТ МИНИСТРОВ РЕСПУБЛИКИ ТАТАРСТАН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right="605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right="605"/>
        <w:jc w:val="center"/>
        <w:rPr>
          <w:szCs w:val="28"/>
        </w:rPr>
      </w:pPr>
      <w:r>
        <w:rPr>
          <w:szCs w:val="28"/>
        </w:rPr>
        <w:t xml:space="preserve">ПОСТАНОВЛЕНИЕ                                                            КАРАР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right="605"/>
        <w:rPr>
          <w:szCs w:val="28"/>
        </w:rPr>
      </w:pPr>
      <w:r>
        <w:rPr>
          <w:szCs w:val="28"/>
        </w:rPr>
        <w:t xml:space="preserve">                   от _________                                                                  №______</w:t>
      </w:r>
      <w:r>
        <w:rPr>
          <w:szCs w:val="28"/>
        </w:rPr>
      </w:r>
      <w:r>
        <w:rPr>
          <w:szCs w:val="28"/>
        </w:rPr>
      </w:r>
    </w:p>
    <w:p>
      <w:pPr>
        <w:pStyle w:val="1036"/>
        <w:pBdr/>
        <w:tabs>
          <w:tab w:val="left" w:leader="none" w:pos="7513"/>
        </w:tabs>
        <w:spacing/>
        <w:ind w:right="56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036"/>
        <w:pBdr/>
        <w:tabs>
          <w:tab w:val="left" w:leader="none" w:pos="7513"/>
        </w:tabs>
        <w:spacing/>
        <w:ind w:right="56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036"/>
        <w:pBdr/>
        <w:tabs>
          <w:tab w:val="left" w:leader="none" w:pos="7513"/>
        </w:tabs>
        <w:spacing w:line="276" w:lineRule="auto"/>
        <w:ind w:right="566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Об утверждении нормативов стоимости услуг, связанных с обеспечением антитеррористической защищенности объектов (территорий)</w:t>
      </w:r>
      <w:r>
        <w:rPr>
          <w:b w:val="0"/>
          <w:sz w:val="28"/>
          <w:szCs w:val="28"/>
        </w:rPr>
        <w:t xml:space="preserve"> государственных и муниципальных </w:t>
      </w:r>
      <w:r>
        <w:rPr>
          <w:b w:val="0"/>
          <w:sz w:val="28"/>
          <w:szCs w:val="28"/>
        </w:rPr>
        <w:t xml:space="preserve">оздоровительно-досуговых  учреждений (лагерей)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при осуществлении их закупок у частных охранных организаций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709"/>
        </w:tabs>
        <w:spacing w:line="276" w:lineRule="auto"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В соответствии с пунктом 7 части 2 статьи 5</w:t>
      </w:r>
      <w:r>
        <w:rPr>
          <w:szCs w:val="28"/>
          <w:vertAlign w:val="superscript"/>
        </w:rPr>
        <w:t xml:space="preserve">1</w:t>
      </w:r>
      <w:r>
        <w:rPr>
          <w:szCs w:val="28"/>
        </w:rPr>
        <w:t xml:space="preserve"> Федерального закона от 6 марта 2006 года </w:t>
      </w:r>
      <w:r>
        <w:rPr>
          <w:szCs w:val="28"/>
        </w:rPr>
        <w:t xml:space="preserve">№</w:t>
      </w:r>
      <w:r>
        <w:rPr>
          <w:szCs w:val="28"/>
        </w:rPr>
        <w:t xml:space="preserve">35-ФЗ </w:t>
      </w:r>
      <w:r>
        <w:rPr>
          <w:szCs w:val="28"/>
        </w:rPr>
        <w:t xml:space="preserve">«</w:t>
      </w:r>
      <w:r>
        <w:rPr>
          <w:szCs w:val="28"/>
        </w:rPr>
        <w:t xml:space="preserve">О противодействии терроризму</w:t>
      </w:r>
      <w:r>
        <w:rPr>
          <w:szCs w:val="28"/>
        </w:rPr>
        <w:t xml:space="preserve">»</w:t>
      </w:r>
      <w:r>
        <w:rPr>
          <w:szCs w:val="28"/>
        </w:rPr>
        <w:t xml:space="preserve">, </w:t>
      </w:r>
      <w:r>
        <w:rPr>
          <w:szCs w:val="28"/>
        </w:rPr>
        <w:t xml:space="preserve">постановлением </w:t>
      </w:r>
      <w:r>
        <w:rPr>
          <w:szCs w:val="28"/>
        </w:rPr>
        <w:t xml:space="preserve">Правительства </w:t>
      </w:r>
      <w:r>
        <w:rPr>
          <w:szCs w:val="28"/>
        </w:rPr>
        <w:t xml:space="preserve">Российской Федерации</w:t>
      </w:r>
      <w:r>
        <w:rPr>
          <w:szCs w:val="28"/>
        </w:rPr>
        <w:t xml:space="preserve"> </w:t>
      </w:r>
      <w:r>
        <w:rPr>
          <w:i w:val="0"/>
          <w:iCs w:val="0"/>
          <w:color w:val="auto"/>
          <w:szCs w:val="28"/>
        </w:rPr>
        <w:t xml:space="preserve">от 14 мая 2021 г. №732 «О</w:t>
      </w:r>
      <w:r>
        <w:rPr>
          <w:i w:val="0"/>
          <w:iCs w:val="0"/>
          <w:color w:val="auto"/>
          <w:szCs w:val="28"/>
        </w:rPr>
        <w:t xml:space="preserve">б утверждении требований к а</w:t>
      </w:r>
      <w:r>
        <w:rPr>
          <w:i w:val="0"/>
          <w:iCs w:val="0"/>
          <w:color w:val="auto"/>
          <w:szCs w:val="28"/>
        </w:rPr>
        <w:t xml:space="preserve">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оздоровления»</w:t>
      </w:r>
      <w:r>
        <w:rPr>
          <w:szCs w:val="28"/>
        </w:rPr>
        <w:t xml:space="preserve"> Кабинет Министров Республики Татарстан постановляет:</w:t>
      </w:r>
      <w:r>
        <w:rPr>
          <w:szCs w:val="28"/>
        </w:rPr>
      </w:r>
      <w:r>
        <w:rPr>
          <w:szCs w:val="28"/>
        </w:rPr>
      </w:r>
    </w:p>
    <w:p>
      <w:pPr>
        <w:pStyle w:val="1030"/>
        <w:numPr>
          <w:ilvl w:val="0"/>
          <w:numId w:val="34"/>
        </w:numPr>
        <w:pBdr/>
        <w:spacing/>
        <w:ind w:firstLine="709" w:left="0"/>
        <w:rPr>
          <w:szCs w:val="28"/>
          <w:highlight w:val="none"/>
        </w:rPr>
      </w:pPr>
      <w:r>
        <w:rPr>
          <w:szCs w:val="28"/>
          <w:highlight w:val="none"/>
        </w:rPr>
        <w:t xml:space="preserve">Утвердить норматив стоимости услуг, связанных с обеспечением антитеррористической защищенности объектов (территорий) </w:t>
      </w:r>
      <w:r>
        <w:rPr>
          <w:b w:val="0"/>
          <w:sz w:val="28"/>
          <w:szCs w:val="28"/>
          <w:highlight w:val="none"/>
        </w:rPr>
        <w:t xml:space="preserve">государственных и муниципальных </w:t>
      </w:r>
      <w:r>
        <w:rPr>
          <w:b w:val="0"/>
          <w:sz w:val="28"/>
          <w:szCs w:val="28"/>
          <w:highlight w:val="none"/>
        </w:rPr>
        <w:t xml:space="preserve">оздоровительно-досуговых  учреждений (лагерей)</w:t>
      </w:r>
      <w:r>
        <w:rPr>
          <w:b w:val="0"/>
          <w:sz w:val="28"/>
          <w:szCs w:val="28"/>
          <w:highlight w:val="none"/>
        </w:rPr>
        <w:t xml:space="preserve"> первой, второй, третьей и четвертой категории опасности </w:t>
      </w:r>
      <w:r>
        <w:rPr>
          <w:b w:val="0"/>
          <w:sz w:val="28"/>
          <w:szCs w:val="28"/>
          <w:highlight w:val="none"/>
        </w:rPr>
        <w:t xml:space="preserve">при осуществлении их закупок у частных охранных организаций</w:t>
      </w:r>
      <w:r>
        <w:rPr>
          <w:szCs w:val="28"/>
          <w:highlight w:val="none"/>
        </w:rPr>
        <w:t xml:space="preserve"> в размере 230 рубл</w:t>
      </w:r>
      <w:r>
        <w:rPr>
          <w:szCs w:val="28"/>
          <w:highlight w:val="none"/>
        </w:rPr>
        <w:t xml:space="preserve">ей</w:t>
      </w:r>
      <w:r>
        <w:rPr>
          <w:szCs w:val="28"/>
          <w:highlight w:val="none"/>
        </w:rPr>
        <w:t xml:space="preserve"> в час на один пост охраны</w:t>
      </w:r>
      <w:r>
        <w:rPr>
          <w:szCs w:val="28"/>
          <w:highlight w:val="none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 w14:paraId="4C39ACAA">
      <w:pPr>
        <w:pStyle w:val="1030"/>
        <w:numPr>
          <w:ilvl w:val="0"/>
          <w:numId w:val="36"/>
        </w:numPr>
        <w:pBdr/>
        <w:spacing w:before="0" w:beforeAutospacing="0"/>
        <w:ind w:firstLine="709" w:left="0"/>
        <w:rPr/>
      </w:pPr>
      <w:r>
        <w:rPr>
          <w:highlight w:val="none"/>
        </w:rPr>
      </w:r>
      <w:r>
        <w:rPr>
          <w:szCs w:val="28"/>
        </w:rPr>
        <w:t xml:space="preserve">Количество постов охраны </w:t>
      </w:r>
      <w:r>
        <w:rPr>
          <w:szCs w:val="28"/>
          <w:highlight w:val="none"/>
        </w:rPr>
        <w:t xml:space="preserve">с 24-часовым режимом работы</w:t>
      </w:r>
      <w:r>
        <w:rPr>
          <w:szCs w:val="28"/>
        </w:rPr>
        <w:t xml:space="preserve"> для объектов (территорий) </w:t>
      </w:r>
      <w:r>
        <w:rPr>
          <w:b w:val="0"/>
          <w:sz w:val="28"/>
          <w:szCs w:val="28"/>
        </w:rPr>
        <w:t xml:space="preserve">государственных и муниципальных</w:t>
      </w:r>
      <w:r>
        <w:rPr>
          <w:highlight w:val="none"/>
        </w:rPr>
        <w:t xml:space="preserve"> оздоровительно-досуговых  учреждений (лагерей) </w:t>
      </w:r>
      <w:r>
        <w:rPr>
          <w:b w:val="0"/>
          <w:sz w:val="28"/>
          <w:szCs w:val="28"/>
        </w:rPr>
        <w:t xml:space="preserve">первой, второй, третьей и четвертой категории опасности</w:t>
      </w:r>
      <w:r>
        <w:rPr>
          <w:szCs w:val="28"/>
        </w:rPr>
        <w:t xml:space="preserve"> </w:t>
      </w:r>
      <w:r>
        <w:rPr>
          <w:szCs w:val="28"/>
        </w:rPr>
        <w:t xml:space="preserve">определяется </w:t>
      </w:r>
      <w:r>
        <w:rPr>
          <w:szCs w:val="28"/>
        </w:rPr>
        <w:t xml:space="preserve">Министерств</w:t>
      </w:r>
      <w:r>
        <w:rPr>
          <w:szCs w:val="28"/>
        </w:rPr>
        <w:t xml:space="preserve">ом</w:t>
      </w:r>
      <w:r>
        <w:rPr>
          <w:szCs w:val="28"/>
        </w:rPr>
        <w:t xml:space="preserve"> по делам молодежи Республики Татарстан, но не более одного поста охраны на одно </w:t>
      </w:r>
      <w:r>
        <w:rPr>
          <w:highlight w:val="none"/>
        </w:rPr>
        <w:t xml:space="preserve">оздоровительно-досуговое учреждение (лагерь)</w:t>
      </w:r>
      <w:r>
        <w:rPr>
          <w:szCs w:val="28"/>
        </w:rPr>
        <w:t xml:space="preserve">.</w:t>
      </w:r>
      <w:r>
        <w:rPr>
          <w:highlight w:val="none"/>
        </w:rPr>
      </w:r>
      <w:r/>
    </w:p>
    <w:p w14:paraId="1A8E06C2">
      <w:pPr>
        <w:pStyle w:val="1030"/>
        <w:numPr>
          <w:ilvl w:val="0"/>
          <w:numId w:val="36"/>
        </w:numPr>
        <w:pBdr/>
        <w:spacing w:before="0" w:beforeAutospacing="0"/>
        <w:ind w:firstLine="709" w:left="0"/>
        <w:rPr/>
      </w:pPr>
      <w:r>
        <w:rPr>
          <w:highlight w:val="none"/>
        </w:rPr>
      </w:r>
      <w:r>
        <w:rPr>
          <w:highlight w:val="none"/>
        </w:rPr>
        <w:t xml:space="preserve">Количество дней работы </w:t>
      </w:r>
      <w:r>
        <w:rPr>
          <w:szCs w:val="28"/>
        </w:rPr>
        <w:t xml:space="preserve">постов охраны в год для объектов (территорий) </w:t>
      </w:r>
      <w:r>
        <w:rPr>
          <w:b w:val="0"/>
          <w:sz w:val="28"/>
          <w:szCs w:val="28"/>
        </w:rPr>
        <w:t xml:space="preserve">государственных и муниципальных</w:t>
      </w:r>
      <w:r>
        <w:rPr>
          <w:highlight w:val="none"/>
        </w:rPr>
        <w:t xml:space="preserve"> оздоровительно-досуговых учреждений (лагерей) </w:t>
      </w:r>
      <w:r>
        <w:rPr>
          <w:b w:val="0"/>
          <w:sz w:val="28"/>
          <w:szCs w:val="28"/>
        </w:rPr>
        <w:t xml:space="preserve">первой, второй, третьей и четвертой категории опасности</w:t>
      </w:r>
      <w:r>
        <w:rPr>
          <w:szCs w:val="28"/>
        </w:rPr>
        <w:t xml:space="preserve"> </w:t>
      </w:r>
      <w:r>
        <w:rPr>
          <w:szCs w:val="28"/>
        </w:rPr>
        <w:t xml:space="preserve">определяется </w:t>
      </w:r>
      <w:r>
        <w:rPr>
          <w:szCs w:val="28"/>
        </w:rPr>
        <w:t xml:space="preserve">Министерств</w:t>
      </w:r>
      <w:r>
        <w:rPr>
          <w:szCs w:val="28"/>
        </w:rPr>
        <w:t xml:space="preserve">ом</w:t>
      </w:r>
      <w:r>
        <w:rPr>
          <w:szCs w:val="28"/>
        </w:rPr>
        <w:t xml:space="preserve"> по делам молодежи Республики Татарстан с учетом требований, приведенных в Положении об организации отдыха и оздоровления детей и молодежи, утвержденного </w:t>
      </w:r>
      <w:r>
        <w:rPr>
          <w:szCs w:val="28"/>
        </w:rPr>
        <w:t xml:space="preserve">постановлением Кабинета Министров Республики Татарстан от 29.04.2020 №346 «Об организации отдыха и оздоровления детей и молодежи».</w:t>
      </w:r>
      <w:r/>
    </w:p>
    <w:p>
      <w:pPr>
        <w:pStyle w:val="1030"/>
        <w:numPr>
          <w:ilvl w:val="0"/>
          <w:numId w:val="34"/>
        </w:numPr>
        <w:pBdr/>
        <w:spacing w:before="0" w:beforeAutospacing="0"/>
        <w:ind w:firstLine="709" w:left="0"/>
        <w:rPr>
          <w:szCs w:val="28"/>
        </w:rPr>
      </w:pPr>
      <w:r>
        <w:rPr>
          <w:szCs w:val="28"/>
        </w:rPr>
        <w:t xml:space="preserve">Норматив стоимости услуг</w:t>
      </w:r>
      <w:r>
        <w:rPr>
          <w:szCs w:val="28"/>
        </w:rPr>
        <w:t xml:space="preserve">, связанных с обеспечением антитеррористической защищенности объектов (территорий) </w:t>
      </w:r>
      <w:r>
        <w:rPr>
          <w:b w:val="0"/>
          <w:sz w:val="28"/>
          <w:szCs w:val="28"/>
        </w:rPr>
        <w:t xml:space="preserve">учреждений, </w:t>
      </w:r>
      <w:r>
        <w:rPr>
          <w:b w:val="0"/>
          <w:sz w:val="28"/>
          <w:szCs w:val="28"/>
        </w:rPr>
        <w:t xml:space="preserve">молодежной политики, </w:t>
      </w:r>
      <w:r>
        <w:rPr>
          <w:szCs w:val="28"/>
        </w:rPr>
        <w:t xml:space="preserve">может быть увеличен при наличии у </w:t>
      </w:r>
      <w:r>
        <w:rPr>
          <w:b w:val="0"/>
          <w:sz w:val="28"/>
          <w:szCs w:val="28"/>
        </w:rPr>
        <w:t xml:space="preserve">государственных и муниципальных</w:t>
      </w:r>
      <w:r>
        <w:rPr>
          <w:highlight w:val="none"/>
        </w:rPr>
        <w:t xml:space="preserve"> оздоровительно-досуговых учреждений (лагерей)</w:t>
      </w:r>
      <w:r>
        <w:rPr>
          <w:b w:val="0"/>
          <w:sz w:val="28"/>
          <w:szCs w:val="28"/>
        </w:rPr>
        <w:t xml:space="preserve"> </w:t>
      </w:r>
      <w:r>
        <w:rPr>
          <w:szCs w:val="28"/>
        </w:rPr>
        <w:t xml:space="preserve"> </w:t>
      </w:r>
      <w:bookmarkStart w:id="1" w:name="_GoBack"/>
      <w:r/>
      <w:bookmarkEnd w:id="1"/>
      <w:r>
        <w:rPr>
          <w:szCs w:val="28"/>
        </w:rPr>
        <w:t xml:space="preserve">иных источников финансирования.</w:t>
      </w:r>
      <w:r>
        <w:rPr>
          <w:szCs w:val="28"/>
        </w:rPr>
      </w:r>
      <w:r>
        <w:rPr>
          <w:szCs w:val="28"/>
        </w:rPr>
      </w:r>
    </w:p>
    <w:p>
      <w:pPr>
        <w:pStyle w:val="1030"/>
        <w:numPr>
          <w:ilvl w:val="0"/>
          <w:numId w:val="34"/>
        </w:numPr>
        <w:pBdr/>
        <w:spacing/>
        <w:ind w:firstLine="709" w:left="0"/>
        <w:rPr>
          <w:szCs w:val="28"/>
        </w:rPr>
      </w:pPr>
      <w:r>
        <w:rPr>
          <w:szCs w:val="28"/>
        </w:rPr>
        <w:t xml:space="preserve">Контроль за исполнением настоящего постановления возложить на Министерство по делам молодежи</w:t>
      </w:r>
      <w:r>
        <w:rPr>
          <w:szCs w:val="28"/>
        </w:rPr>
        <w:t xml:space="preserve"> </w:t>
      </w:r>
      <w:r>
        <w:rPr>
          <w:szCs w:val="28"/>
        </w:rPr>
        <w:t xml:space="preserve">Республики Татарстан.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right="-185"/>
        <w:rPr>
          <w:szCs w:val="28"/>
        </w:rPr>
      </w:pPr>
      <w:r/>
      <w:bookmarkStart w:id="2" w:name="_Hlk52435078"/>
      <w:r>
        <w:rPr>
          <w:szCs w:val="28"/>
        </w:rPr>
        <w:t xml:space="preserve">Премьер-министр 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right="-1"/>
        <w:rPr/>
        <w:sectPr>
          <w:headerReference w:type="default" r:id="rId9"/>
          <w:headerReference w:type="even" r:id="rId10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20" w:equalWidth="1"/>
          <w:titlePg/>
        </w:sectPr>
      </w:pPr>
      <w:r>
        <w:rPr>
          <w:szCs w:val="28"/>
        </w:rPr>
        <w:t xml:space="preserve">Республики Татарстан</w:t>
      </w:r>
      <w:r>
        <w:rPr>
          <w:szCs w:val="28"/>
        </w:rPr>
        <w:t xml:space="preserve">          </w:t>
      </w:r>
      <w:bookmarkEnd w:id="2"/>
      <w:r>
        <w:rPr>
          <w:szCs w:val="28"/>
        </w:rPr>
      </w:r>
      <w:r/>
    </w:p>
    <w:p w14:paraId="60CFCC10">
      <w:pPr>
        <w:pStyle w:val="1037"/>
        <w:pBdr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 w14:paraId="702F7554">
      <w:pPr>
        <w:pStyle w:val="1037"/>
        <w:pBdr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к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проекту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постановлени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Кабинета Министров Республики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б утверждении нормативов стоимости услуг, связанных с обеспечением антитеррористической защищенности объектов (территорий) государственных и муниципальных оздоровительно-досуговых  учреждений (лагерей) при осуществлении их закупок у частных охранных орга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низаций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 w14:paraId="1828C411">
      <w:pPr>
        <w:pStyle w:val="1037"/>
        <w:pBdr/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 w14:paraId="49DD7643">
      <w:pPr>
        <w:pStyle w:val="1030"/>
        <w:pBdr/>
        <w:spacing w:after="0" w:line="276" w:lineRule="auto"/>
        <w:ind w:firstLine="709" w:left="0"/>
        <w:jc w:val="both"/>
        <w:rPr/>
      </w:pPr>
      <w:r>
        <w:t xml:space="preserve">Во исполнение </w:t>
      </w:r>
      <w:r>
        <w:t xml:space="preserve">поручений Раиса Республики Татарстан от 15.01.2026 </w:t>
        <w:br/>
        <w:t xml:space="preserve">№1053-МР, от 03.04.2026 №15440-МР и Вашего поручения </w:t>
      </w:r>
      <w:r>
        <w:rPr>
          <w:highlight w:val="none"/>
        </w:rPr>
        <w:t xml:space="preserve">от 16.01.2026 №1180-АП </w:t>
      </w:r>
      <w:r>
        <w:t xml:space="preserve">о необходимости утверждения нормативов стоимости охранных услуг для учреждений социальной сферы, ГБУ «ЦЭСИ РТ» подготовлен проект постановления Кабинета Министров Республики Татарстан «</w:t>
      </w:r>
      <w:r>
        <w:rPr>
          <w:szCs w:val="28"/>
        </w:rPr>
        <w:t xml:space="preserve">О</w:t>
      </w:r>
      <w:r>
        <w:rPr>
          <w:szCs w:val="28"/>
        </w:rPr>
        <w:t xml:space="preserve">б утверждении нормативов стоимости услуг, связанных с обеспечением антитеррористической защищенности объектов (территорий) государственных и муниципальных оздоровительно-досуговых  учреждений (лагерей) при осуществлении их закупок у частных охранных орга</w:t>
      </w:r>
      <w:r>
        <w:rPr>
          <w:szCs w:val="28"/>
        </w:rPr>
        <w:t xml:space="preserve">низаций</w:t>
      </w:r>
      <w:r>
        <w:t xml:space="preserve">» (далее – проект ПКМ)</w:t>
      </w:r>
      <w:r>
        <w:t xml:space="preserve">.</w:t>
      </w:r>
      <w:r/>
    </w:p>
    <w:p w14:paraId="265D14EF">
      <w:pPr>
        <w:pStyle w:val="1030"/>
        <w:pBdr/>
        <w:spacing w:after="0" w:line="276" w:lineRule="auto"/>
        <w:ind w:firstLine="709" w:left="0"/>
        <w:jc w:val="both"/>
        <w:rPr>
          <w:highlight w:val="none"/>
        </w:rPr>
      </w:pPr>
      <w:r>
        <w:t xml:space="preserve">Проектом ПКМ утверждается нормативная стоимость охранных услуг для </w:t>
      </w:r>
      <w:r>
        <w:rPr>
          <w:szCs w:val="28"/>
        </w:rPr>
        <w:t xml:space="preserve">государственных и муниципальных оздоровительно - досуговых учреждений (лагерей)</w:t>
      </w:r>
      <w:r>
        <w:t xml:space="preserve"> в размере 230 рублей в час на один пост охраны с круглосуточным  режимом работы, исходя из среднего значения стоимости часа поста охраны на основании анализа закупок по контрактам, заключенным бюджетными учреждениями в 2025 году. </w:t>
      </w:r>
      <w:r>
        <w:rPr>
          <w:highlight w:val="none"/>
        </w:rPr>
      </w:r>
      <w:r>
        <w:rPr>
          <w:highlight w:val="none"/>
        </w:rPr>
      </w:r>
    </w:p>
    <w:p w14:paraId="179013F0">
      <w:pPr>
        <w:pStyle w:val="1030"/>
        <w:pBdr/>
        <w:spacing w:after="0" w:line="276" w:lineRule="auto"/>
        <w:ind w:firstLine="709" w:left="0"/>
        <w:jc w:val="both"/>
        <w:rPr>
          <w:highlight w:val="none"/>
        </w:rPr>
      </w:pPr>
      <w:r>
        <w:rPr>
          <w:highlight w:val="none"/>
        </w:rPr>
        <w:t xml:space="preserve">Количество дней </w:t>
      </w:r>
      <w:r>
        <w:rPr>
          <w:highlight w:val="none"/>
        </w:rPr>
        <w:t xml:space="preserve">выставления постов охраны</w:t>
      </w:r>
      <w:r>
        <w:rPr>
          <w:highlight w:val="none"/>
        </w:rPr>
        <w:t xml:space="preserve"> в год определяется ежегодно, исходя из утвержденного на соответствующий год фактического количества дней работы </w:t>
      </w:r>
      <w:r>
        <w:rPr>
          <w:szCs w:val="28"/>
        </w:rPr>
        <w:t xml:space="preserve">оздоровительно - досуговых учреждений (лагерей)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 w14:paraId="03D4EA64">
      <w:pPr>
        <w:pBdr/>
        <w:spacing w:after="0" w:line="276" w:lineRule="auto"/>
        <w:ind w:firstLine="709"/>
        <w:jc w:val="both"/>
        <w:rPr/>
      </w:pPr>
      <w:r>
        <w:rPr>
          <w:highlight w:val="none"/>
        </w:rPr>
      </w:r>
      <w:r>
        <w:rPr>
          <w:strike w:val="0"/>
          <w:highlight w:val="none"/>
        </w:rPr>
        <w:t xml:space="preserve">Принятие проекта ПКМ потребует выделения дополнительного финансирования в размер</w:t>
      </w:r>
      <w:r>
        <w:rPr>
          <w:strike w:val="0"/>
          <w:highlight w:val="none"/>
        </w:rPr>
        <w:t xml:space="preserve">е 34 488,96 тыс. </w:t>
      </w:r>
      <w:r>
        <w:rPr>
          <w:strike w:val="0"/>
          <w:highlight w:val="none"/>
        </w:rPr>
        <w:t xml:space="preserve">р</w:t>
      </w:r>
      <w:r>
        <w:rPr>
          <w:strike w:val="0"/>
          <w:highlight w:val="none"/>
        </w:rPr>
        <w:t xml:space="preserve">ублей в </w:t>
      </w:r>
      <w:r>
        <w:rPr>
          <w:strike w:val="0"/>
          <w:highlight w:val="none"/>
        </w:rPr>
        <w:t xml:space="preserve">расчете на 2026 год</w:t>
      </w:r>
      <w:r>
        <w:rPr>
          <w:highlight w:val="none"/>
        </w:rPr>
        <w:t xml:space="preserve"> (выделение средств согласовано Раисом Республики Татарстан от</w:t>
      </w:r>
      <w:r>
        <w:rPr>
          <w:highlight w:val="none"/>
        </w:rPr>
        <w:t xml:space="preserve"> 08.04.2026 №16388-МР)</w:t>
      </w:r>
      <w:r>
        <w:rPr>
          <w:highlight w:val="none"/>
        </w:rPr>
        <w:t xml:space="preserve">.</w:t>
      </w:r>
      <w:r/>
    </w:p>
    <w:p w14:paraId="3C10F050">
      <w:pPr>
        <w:pBdr/>
        <w:spacing w:after="0" w:line="276" w:lineRule="auto"/>
        <w:ind w:firstLine="709"/>
        <w:jc w:val="both"/>
        <w:rPr>
          <w:highlight w:val="none"/>
        </w:rPr>
      </w:pPr>
      <w:r>
        <w:t xml:space="preserve">Принятие данного проекта постановления не потребует внесения изменений в другие нормативные правовые акты.</w:t>
      </w:r>
      <w:r>
        <w:rPr>
          <w:highlight w:val="none"/>
        </w:rPr>
      </w:r>
      <w:r>
        <w:rPr>
          <w:highlight w:val="none"/>
        </w:rPr>
      </w:r>
    </w:p>
    <w:p w14:paraId="5AA89BCA">
      <w:pPr>
        <w:pBdr/>
        <w:spacing w:after="0" w:line="276" w:lineRule="auto"/>
        <w:ind w:firstLine="709"/>
        <w:jc w:val="both"/>
        <w:rPr/>
      </w:pPr>
      <w:r>
        <w:t xml:space="preserve">Отсутствует</w:t>
      </w:r>
      <w:r>
        <w:t xml:space="preserve"> необходимость в проведении оценки регулир</w:t>
      </w:r>
      <w:r>
        <w:t xml:space="preserve">ующего воздействия проекта постановления Кабинета Министров Республики Татарстан.</w:t>
      </w:r>
      <w:r/>
    </w:p>
    <w:p w14:paraId="422B2A49">
      <w:pPr>
        <w:pBdr/>
        <w:spacing w:after="0" w:line="276" w:lineRule="auto"/>
        <w:ind w:firstLine="709"/>
        <w:jc w:val="both"/>
        <w:rPr/>
      </w:pPr>
      <w: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</w:t>
      </w:r>
      <w:r>
        <w:t xml:space="preserve">пало.</w:t>
      </w:r>
      <w:r/>
    </w:p>
    <w:p w14:paraId="457388BB">
      <w:pPr>
        <w:pStyle w:val="1030"/>
        <w:pBdr/>
        <w:spacing w:after="0" w:line="276" w:lineRule="auto"/>
        <w:ind w:firstLine="709" w:left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799BD3F7">
      <w:pPr>
        <w:pBdr/>
        <w:spacing/>
        <w:ind w:right="-1"/>
        <w:rPr/>
      </w:pPr>
      <w:r>
        <w:rPr>
          <w:szCs w:val="28"/>
        </w:rPr>
      </w:r>
      <w:r>
        <w:rPr>
          <w:szCs w:val="28"/>
        </w:rPr>
      </w:r>
      <w:r/>
    </w:p>
    <w:sectPr>
      <w:footnotePr/>
      <w:endnotePr/>
      <w:type w:val="nextPage"/>
      <w:pgSz w:h="16838" w:orient="portrait" w:w="11906"/>
      <w:pgMar w:top="1134" w:right="567" w:bottom="1134" w:left="1134" w:header="397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before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before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itka Small">
    <w:panose1 w:val="05040102010807070707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pBdr/>
      <w:spacing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</w:rPr>
      <w:t xml:space="preserve">2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framePr w:hAnchor="margin" w:vAnchor="text" w:wrap="around" w:xAlign="center" w:y="1"/>
      <w:pBdr/>
      <w:spacing/>
      <w:ind/>
      <w:rPr>
        <w:rStyle w:val="1021"/>
      </w:rPr>
    </w:pPr>
    <w:r>
      <w:rPr>
        <w:rStyle w:val="1021"/>
      </w:rPr>
      <w:fldChar w:fldCharType="begin"/>
    </w:r>
    <w:r>
      <w:rPr>
        <w:rStyle w:val="1021"/>
      </w:rPr>
      <w:instrText xml:space="preserve">PAGE  </w:instrText>
    </w:r>
    <w:r>
      <w:rPr>
        <w:rStyle w:val="1021"/>
      </w:rPr>
      <w:fldChar w:fldCharType="separate"/>
    </w:r>
    <w:r>
      <w:rPr>
        <w:rStyle w:val="1021"/>
      </w:rPr>
      <w:t xml:space="preserve">1</w:t>
    </w:r>
    <w:r>
      <w:rPr>
        <w:rStyle w:val="1021"/>
      </w:rPr>
      <w:fldChar w:fldCharType="end"/>
    </w:r>
    <w:r>
      <w:rPr>
        <w:rStyle w:val="1021"/>
      </w:rPr>
    </w:r>
    <w:r>
      <w:rPr>
        <w:rStyle w:val="1021"/>
      </w:rPr>
    </w:r>
  </w:p>
  <w:p>
    <w:pPr>
      <w:pStyle w:val="101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C96"/>
    <w:lvl w:ilvl="0">
      <w:isLgl w:val="false"/>
      <w:lvlJc w:val="left"/>
      <w:lvlText w:val="%1."/>
      <w:numFmt w:val="decimal"/>
      <w:pPr>
        <w:pBdr/>
        <w:spacing/>
        <w:ind w:hanging="360" w:left="2064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720" w:left="2424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424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84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784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144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50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504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864"/>
      </w:pPr>
      <w:rPr>
        <w:rFonts w:hint="default"/>
      </w:rPr>
      <w:start w:val="1"/>
      <w:suff w:val="tab"/>
    </w:lvl>
  </w:abstractNum>
  <w:abstractNum w:abstractNumId="1">
    <w:nsid w:val="039A5CC3"/>
    <w:lvl w:ilvl="0">
      <w:isLgl w:val="false"/>
      <w:lvlJc w:val="left"/>
      <w:lvlText w:val=""/>
      <w:numFmt w:val="bullet"/>
      <w:pPr>
        <w:pBdr/>
        <w:spacing/>
        <w:ind w:hanging="360" w:left="19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6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3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0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5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2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9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680"/>
      </w:pPr>
      <w:rPr>
        <w:rFonts w:hint="default" w:ascii="Wingdings" w:hAnsi="Wingdings"/>
      </w:rPr>
      <w:start w:val="1"/>
      <w:suff w:val="tab"/>
    </w:lvl>
  </w:abstractNum>
  <w:abstractNum w:abstractNumId="2">
    <w:nsid w:val="04252C3E"/>
    <w:lvl w:ilvl="0">
      <w:isLgl w:val="false"/>
      <w:lvlJc w:val="left"/>
      <w:lvlText w:val="-"/>
      <w:numFmt w:val="bullet"/>
      <w:pPr>
        <w:pBdr/>
        <w:spacing/>
        <w:ind w:hanging="360" w:left="1429"/>
      </w:pPr>
      <w:rPr>
        <w:rFonts w:hint="default" w:ascii="Sitka Small" w:hAnsi="Sitka Smal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3">
    <w:nsid w:val="0BB001D2"/>
    <w:lvl w:ilvl="0">
      <w:isLgl w:val="false"/>
      <w:lvlJc w:val="left"/>
      <w:lvlText w:val="%1.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4">
    <w:nsid w:val="0DE83B23"/>
    <w:lvl w:ilvl="0">
      <w:isLgl w:val="false"/>
      <w:lvlJc w:val="left"/>
      <w:lvlText w:val="%1.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5">
    <w:nsid w:val="140E128D"/>
    <w:lvl w:ilvl="0">
      <w:isLgl w:val="false"/>
      <w:lvlJc w:val="left"/>
      <w:lvlText w:val="%1)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6">
    <w:nsid w:val="18FF2FA6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nsid w:val="22E61154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nsid w:val="26320516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27E07A4C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0">
    <w:nsid w:val="28DD568C"/>
    <w:lvl w:ilvl="0">
      <w:isLgl w:val="false"/>
      <w:lvlJc w:val="left"/>
      <w:lvlText w:val="%1.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1">
    <w:nsid w:val="2A890096"/>
    <w:lvl w:ilvl="0">
      <w:isLgl w:val="false"/>
      <w:lvlJc w:val="left"/>
      <w:lvlText w:val=""/>
      <w:numFmt w:val="bullet"/>
      <w:pPr>
        <w:pBdr/>
        <w:spacing/>
        <w:ind w:hanging="360" w:left="149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1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93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5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7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9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1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53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56"/>
      </w:pPr>
      <w:rPr>
        <w:rFonts w:hint="default" w:ascii="Wingdings" w:hAnsi="Wingdings"/>
      </w:rPr>
      <w:start w:val="1"/>
      <w:suff w:val="tab"/>
    </w:lvl>
  </w:abstractNum>
  <w:abstractNum w:abstractNumId="12">
    <w:nsid w:val="2D3508BA"/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3">
    <w:nsid w:val="330A48C4"/>
    <w:lvl w:ilvl="0">
      <w:isLgl w:val="false"/>
      <w:lvlJc w:val="left"/>
      <w:lvlText w:val="%1)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4">
    <w:nsid w:val="37A02E59"/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15">
    <w:nsid w:val="38DF7921"/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nsid w:val="3C3E68DB"/>
    <w:lvl w:ilvl="0">
      <w:isLgl w:val="false"/>
      <w:lvlJc w:val="left"/>
      <w:lvlText w:val="%1)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7">
    <w:nsid w:val="3C873AB7"/>
    <w:lvl w:ilvl="0">
      <w:isLgl w:val="false"/>
      <w:lvlJc w:val="left"/>
      <w:lvlText w:val="%1)"/>
      <w:numFmt w:val="decimal"/>
      <w:pPr>
        <w:pBdr/>
        <w:spacing/>
        <w:ind w:hanging="360" w:left="14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8">
    <w:nsid w:val="3F196847"/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19">
    <w:nsid w:val="407E62D7"/>
    <w:lvl w:ilvl="0">
      <w:isLgl w:val="false"/>
      <w:lvlJc w:val="left"/>
      <w:lvlText w:val=""/>
      <w:numFmt w:val="bullet"/>
      <w:pPr>
        <w:pBdr/>
        <w:spacing/>
        <w:ind w:hanging="360" w:left="106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0">
    <w:nsid w:val="40DC73DE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nsid w:val="47710614"/>
    <w:lvl w:ilvl="0">
      <w:isLgl w:val="false"/>
      <w:lvlJc w:val="left"/>
      <w:lvlText w:val="%1)"/>
      <w:numFmt w:val="decimal"/>
      <w:pPr>
        <w:pBdr/>
        <w:spacing/>
        <w:ind w:hanging="735" w:left="1444"/>
      </w:pPr>
      <w:rPr>
        <w:rFonts w:hint="default"/>
        <w:b w:val="0"/>
        <w:i w:val="0"/>
        <w:color w:val="auto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2">
    <w:nsid w:val="496A3523"/>
    <w:lvl w:ilvl="0">
      <w:isLgl w:val="false"/>
      <w:lvlJc w:val="left"/>
      <w:lvlText w:val="%1)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3">
    <w:nsid w:val="4B595EC9"/>
    <w:lvl w:ilvl="0">
      <w:isLgl w:val="false"/>
      <w:lvlJc w:val="left"/>
      <w:lvlText w:val="%1)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4">
    <w:nsid w:val="50C5613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nsid w:val="5528399F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6">
    <w:nsid w:val="5970676E"/>
    <w:lvl w:ilvl="0">
      <w:isLgl w:val="false"/>
      <w:lvlJc w:val="left"/>
      <w:lvlText w:val="%1)"/>
      <w:numFmt w:val="decimal"/>
      <w:pPr>
        <w:pBdr/>
        <w:spacing/>
        <w:ind w:hanging="360" w:left="1429"/>
      </w:pPr>
      <w:rPr>
        <w:b w:val="0"/>
        <w:i w:val="0"/>
        <w:color w:val="auto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27">
    <w:nsid w:val="66C31545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8">
    <w:nsid w:val="6AC37C45"/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9">
    <w:nsid w:val="722D6694"/>
    <w:lvl w:ilvl="0">
      <w:isLgl w:val="false"/>
      <w:lvlJc w:val="left"/>
      <w:lvlText w:val="%1)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0">
    <w:nsid w:val="755629EE"/>
    <w:lvl w:ilvl="0">
      <w:isLgl w:val="false"/>
      <w:lvlJc w:val="left"/>
      <w:lvlText w:val="%1."/>
      <w:numFmt w:val="decimal"/>
      <w:pPr>
        <w:pBdr/>
        <w:spacing/>
        <w:ind w:hanging="450" w:left="115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1">
    <w:nsid w:val="78D306D7"/>
    <w:lvl w:ilvl="0">
      <w:isLgl w:val="false"/>
      <w:lvlJc w:val="left"/>
      <w:lvlText w:val="%1)"/>
      <w:numFmt w:val="decimal"/>
      <w:pPr>
        <w:pBdr/>
        <w:spacing/>
        <w:ind w:hanging="735" w:left="14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2">
    <w:nsid w:val="7DBF68E1"/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33">
    <w:nsid w:val="7F2502AB"/>
    <w:lvl w:ilvl="0">
      <w:isLgl w:val="false"/>
      <w:lvlJc w:val="left"/>
      <w:lvlText w:val="%1)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4">
    <w:nsid w:val="755629EE"/>
    <w:lvl w:ilvl="0">
      <w:isLgl w:val="false"/>
      <w:lvlJc w:val="left"/>
      <w:lvlText w:val="%1."/>
      <w:numFmt w:val="decimal"/>
      <w:pPr>
        <w:pBdr/>
        <w:spacing/>
        <w:ind w:hanging="450" w:left="115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5">
    <w:nsid w:val="755629EE"/>
    <w:lvl w:ilvl="0">
      <w:isLgl w:val="false"/>
      <w:lvlJc w:val="left"/>
      <w:lvlText w:val="%1."/>
      <w:numFmt w:val="decimal"/>
      <w:pPr>
        <w:pBdr/>
        <w:spacing/>
        <w:ind w:hanging="450" w:left="115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6">
    <w:nsid w:val="755629EE"/>
    <w:lvl w:ilvl="0">
      <w:isLgl w:val="false"/>
      <w:lvlJc w:val="left"/>
      <w:lvlText w:val="%1."/>
      <w:numFmt w:val="decimal"/>
      <w:pPr>
        <w:pBdr/>
        <w:spacing/>
        <w:ind w:hanging="450" w:left="115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7">
    <w:nsid w:val="755629EE"/>
    <w:lvl w:ilvl="0">
      <w:isLgl w:val="false"/>
      <w:lvlJc w:val="left"/>
      <w:lvlText w:val="%1."/>
      <w:numFmt w:val="decimal"/>
      <w:pPr>
        <w:pBdr/>
        <w:spacing/>
        <w:ind w:hanging="450" w:left="115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8">
    <w:nsid w:val="755629EE"/>
    <w:lvl w:ilvl="0">
      <w:isLgl w:val="false"/>
      <w:lvlJc w:val="left"/>
      <w:lvlText w:val="%1."/>
      <w:numFmt w:val="decimal"/>
      <w:pPr>
        <w:pBdr/>
        <w:spacing/>
        <w:ind w:hanging="450" w:left="115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9">
    <w:nsid w:val="755629EE"/>
    <w:lvl w:ilvl="0">
      <w:isLgl w:val="false"/>
      <w:lvlJc w:val="left"/>
      <w:lvlText w:val="%1."/>
      <w:numFmt w:val="decimal"/>
      <w:pPr>
        <w:pBdr/>
        <w:spacing/>
        <w:ind w:hanging="450" w:left="115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0">
    <w:nsid w:val="755629EE"/>
    <w:lvl w:ilvl="0">
      <w:isLgl w:val="false"/>
      <w:lvlJc w:val="left"/>
      <w:lvlText w:val="%1."/>
      <w:numFmt w:val="decimal"/>
      <w:pPr>
        <w:pBdr/>
        <w:spacing/>
        <w:ind w:hanging="450" w:left="115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1">
    <w:nsid w:val="755629EE"/>
    <w:lvl w:ilvl="0">
      <w:isLgl w:val="false"/>
      <w:lvlJc w:val="left"/>
      <w:lvlText w:val="%1."/>
      <w:numFmt w:val="decimal"/>
      <w:pPr>
        <w:pBdr/>
        <w:spacing/>
        <w:ind w:hanging="450" w:left="115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2">
    <w:nsid w:val="755629EE"/>
    <w:lvl w:ilvl="0">
      <w:isLgl w:val="false"/>
      <w:lvlJc w:val="left"/>
      <w:lvlText w:val="%1."/>
      <w:numFmt w:val="decimal"/>
      <w:pPr>
        <w:pBdr/>
        <w:spacing/>
        <w:ind w:hanging="450" w:left="115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3">
    <w:nsid w:val="755629EE"/>
    <w:lvl w:ilvl="0">
      <w:isLgl w:val="false"/>
      <w:lvlJc w:val="left"/>
      <w:lvlText w:val="%1."/>
      <w:numFmt w:val="decimal"/>
      <w:pPr>
        <w:pBdr/>
        <w:spacing/>
        <w:ind w:hanging="450" w:left="115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4">
    <w:nsid w:val="755629EE"/>
    <w:lvl w:ilvl="0">
      <w:isLgl w:val="false"/>
      <w:lvlJc w:val="left"/>
      <w:lvlText w:val="%1."/>
      <w:numFmt w:val="decimal"/>
      <w:pPr>
        <w:pBdr/>
        <w:spacing/>
        <w:ind w:hanging="450" w:left="115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5">
    <w:nsid w:val="755629EE"/>
    <w:lvl w:ilvl="0">
      <w:isLgl w:val="false"/>
      <w:lvlJc w:val="left"/>
      <w:lvlText w:val="%1."/>
      <w:numFmt w:val="decimal"/>
      <w:pPr>
        <w:pBdr/>
        <w:spacing/>
        <w:ind w:hanging="450" w:left="115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2"/>
  </w:num>
  <w:num w:numId="2">
    <w:abstractNumId w:val="28"/>
  </w:num>
  <w:num w:numId="3">
    <w:abstractNumId w:val="27"/>
  </w:num>
  <w:num w:numId="4">
    <w:abstractNumId w:val="22"/>
  </w:num>
  <w:num w:numId="5">
    <w:abstractNumId w:val="0"/>
  </w:num>
  <w:num w:numId="6">
    <w:abstractNumId w:val="11"/>
  </w:num>
  <w:num w:numId="7">
    <w:abstractNumId w:val="9"/>
  </w:num>
  <w:num w:numId="8">
    <w:abstractNumId w:val="32"/>
  </w:num>
  <w:num w:numId="9">
    <w:abstractNumId w:val="8"/>
  </w:num>
  <w:num w:numId="10">
    <w:abstractNumId w:val="7"/>
  </w:num>
  <w:num w:numId="11">
    <w:abstractNumId w:val="19"/>
  </w:num>
  <w:num w:numId="12">
    <w:abstractNumId w:val="25"/>
  </w:num>
  <w:num w:numId="13">
    <w:abstractNumId w:val="29"/>
  </w:num>
  <w:num w:numId="14">
    <w:abstractNumId w:val="33"/>
  </w:num>
  <w:num w:numId="15">
    <w:abstractNumId w:val="3"/>
  </w:num>
  <w:num w:numId="16">
    <w:abstractNumId w:val="18"/>
  </w:num>
  <w:num w:numId="17">
    <w:abstractNumId w:val="16"/>
  </w:num>
  <w:num w:numId="18">
    <w:abstractNumId w:val="17"/>
  </w:num>
  <w:num w:numId="19">
    <w:abstractNumId w:val="5"/>
  </w:num>
  <w:num w:numId="20">
    <w:abstractNumId w:val="20"/>
  </w:num>
  <w:num w:numId="21">
    <w:abstractNumId w:val="10"/>
  </w:num>
  <w:num w:numId="22">
    <w:abstractNumId w:val="4"/>
  </w:num>
  <w:num w:numId="23">
    <w:abstractNumId w:val="12"/>
  </w:num>
  <w:num w:numId="24">
    <w:abstractNumId w:val="26"/>
  </w:num>
  <w:num w:numId="25">
    <w:abstractNumId w:val="13"/>
  </w:num>
  <w:num w:numId="26">
    <w:abstractNumId w:val="23"/>
  </w:num>
  <w:num w:numId="27">
    <w:abstractNumId w:val="24"/>
  </w:num>
  <w:num w:numId="28">
    <w:abstractNumId w:val="15"/>
  </w:num>
  <w:num w:numId="29">
    <w:abstractNumId w:val="1"/>
  </w:num>
  <w:num w:numId="30">
    <w:abstractNumId w:val="31"/>
  </w:num>
  <w:num w:numId="31">
    <w:abstractNumId w:val="14"/>
  </w:num>
  <w:num w:numId="32">
    <w:abstractNumId w:val="21"/>
  </w:num>
  <w:num w:numId="33">
    <w:abstractNumId w:val="6"/>
  </w:num>
  <w:num w:numId="34">
    <w:abstractNumId w:val="30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29">
    <w:name w:val="Table Grid"/>
    <w:basedOn w:val="10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Table Grid Light"/>
    <w:basedOn w:val="10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1"/>
    <w:basedOn w:val="10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2"/>
    <w:basedOn w:val="10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Plain Table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Plain Table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1 Light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1 Light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1 Light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1 Light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1 Light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2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2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2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2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2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3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3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3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3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3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4"/>
    <w:basedOn w:val="10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4 - Accent 1"/>
    <w:basedOn w:val="10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4 - Accent 2"/>
    <w:basedOn w:val="10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4 - Accent 3"/>
    <w:basedOn w:val="10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4 - Accent 4"/>
    <w:basedOn w:val="10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 - Accent 5"/>
    <w:basedOn w:val="10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 - Accent 6"/>
    <w:basedOn w:val="10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5 Dark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5 Dark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5 Dark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5 Dark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5 Dark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6 Colorful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6 Colorful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6 Colorful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6 Colorful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6 Colorful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7 Colorful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7 Colorful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7 Colorful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7 Colorful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7 Colorful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1 Light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1 Light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1 Light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1 Light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1 Light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2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2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2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2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3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3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3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4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4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4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4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5 Dark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5 Dark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5 Dark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5 Dark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5 Dark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6 Colorful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6 Colorful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6 Colorful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6 Colorful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7 Colorful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7 Colorful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7 Colorful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7 Colorful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7 Colorful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ned - Accent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ned - Accent 1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ned - Accent 2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ned - Accent 3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ned - Accent 4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ned - Accent 5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 6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&amp; Lined - Accent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&amp; Lined - Accent 1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&amp; Lined - Accent 2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&amp; Lined - Accent 3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&amp; Lined - Accent 4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&amp; Lined - Accent 5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 6"/>
    <w:basedOn w:val="10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- Accent 1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- Accent 2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- Accent 3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- Accent 4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- Accent 5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- Accent 6"/>
    <w:basedOn w:val="10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5">
    <w:name w:val="Heading 3"/>
    <w:basedOn w:val="1005"/>
    <w:next w:val="1005"/>
    <w:link w:val="96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56">
    <w:name w:val="Heading 4"/>
    <w:basedOn w:val="1005"/>
    <w:next w:val="1005"/>
    <w:link w:val="96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57">
    <w:name w:val="Heading 5"/>
    <w:basedOn w:val="1005"/>
    <w:next w:val="1005"/>
    <w:link w:val="96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58">
    <w:name w:val="Heading 6"/>
    <w:basedOn w:val="1005"/>
    <w:next w:val="1005"/>
    <w:link w:val="96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59">
    <w:name w:val="Heading 7"/>
    <w:basedOn w:val="1005"/>
    <w:next w:val="1005"/>
    <w:link w:val="96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60">
    <w:name w:val="Heading 8"/>
    <w:basedOn w:val="1005"/>
    <w:next w:val="1005"/>
    <w:link w:val="96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61">
    <w:name w:val="Heading 9"/>
    <w:basedOn w:val="1005"/>
    <w:next w:val="1005"/>
    <w:link w:val="97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62">
    <w:name w:val="Heading 1 Char"/>
    <w:basedOn w:val="1008"/>
    <w:link w:val="10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63">
    <w:name w:val="Heading 2 Char"/>
    <w:basedOn w:val="1008"/>
    <w:link w:val="10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64">
    <w:name w:val="Heading 3 Char"/>
    <w:basedOn w:val="1008"/>
    <w:link w:val="9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65">
    <w:name w:val="Heading 4 Char"/>
    <w:basedOn w:val="1008"/>
    <w:link w:val="9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66">
    <w:name w:val="Heading 5 Char"/>
    <w:basedOn w:val="1008"/>
    <w:link w:val="9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67">
    <w:name w:val="Heading 6 Char"/>
    <w:basedOn w:val="1008"/>
    <w:link w:val="9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68">
    <w:name w:val="Heading 7 Char"/>
    <w:basedOn w:val="1008"/>
    <w:link w:val="95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69">
    <w:name w:val="Heading 8 Char"/>
    <w:basedOn w:val="1008"/>
    <w:link w:val="9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0">
    <w:name w:val="Heading 9 Char"/>
    <w:basedOn w:val="1008"/>
    <w:link w:val="9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71">
    <w:name w:val="Title"/>
    <w:basedOn w:val="1005"/>
    <w:next w:val="1005"/>
    <w:link w:val="97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72">
    <w:name w:val="Title Char"/>
    <w:basedOn w:val="1008"/>
    <w:link w:val="9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73">
    <w:name w:val="Subtitle"/>
    <w:basedOn w:val="1005"/>
    <w:next w:val="1005"/>
    <w:link w:val="97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74">
    <w:name w:val="Subtitle Char"/>
    <w:basedOn w:val="1008"/>
    <w:link w:val="9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75">
    <w:name w:val="Quote"/>
    <w:basedOn w:val="1005"/>
    <w:next w:val="1005"/>
    <w:link w:val="97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76">
    <w:name w:val="Quote Char"/>
    <w:basedOn w:val="1008"/>
    <w:link w:val="9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77">
    <w:name w:val="Intense Emphasis"/>
    <w:basedOn w:val="10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78">
    <w:name w:val="Intense Quote"/>
    <w:basedOn w:val="1005"/>
    <w:next w:val="1005"/>
    <w:link w:val="97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79">
    <w:name w:val="Intense Quote Char"/>
    <w:basedOn w:val="1008"/>
    <w:link w:val="97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80">
    <w:name w:val="Intense Reference"/>
    <w:basedOn w:val="10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81">
    <w:name w:val="Subtle Emphasis"/>
    <w:basedOn w:val="10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82">
    <w:name w:val="Strong"/>
    <w:basedOn w:val="1008"/>
    <w:uiPriority w:val="22"/>
    <w:qFormat/>
    <w:pPr>
      <w:pBdr/>
      <w:spacing/>
      <w:ind/>
    </w:pPr>
    <w:rPr>
      <w:b/>
      <w:bCs/>
    </w:rPr>
  </w:style>
  <w:style w:type="character" w:styleId="983">
    <w:name w:val="Subtle Reference"/>
    <w:basedOn w:val="10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4">
    <w:name w:val="Book Title"/>
    <w:basedOn w:val="10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85">
    <w:name w:val="Header Char"/>
    <w:basedOn w:val="1008"/>
    <w:link w:val="1014"/>
    <w:uiPriority w:val="99"/>
    <w:pPr>
      <w:pBdr/>
      <w:spacing/>
      <w:ind/>
    </w:pPr>
  </w:style>
  <w:style w:type="character" w:styleId="986">
    <w:name w:val="Footer Char"/>
    <w:basedOn w:val="1008"/>
    <w:link w:val="1020"/>
    <w:uiPriority w:val="99"/>
    <w:pPr>
      <w:pBdr/>
      <w:spacing/>
      <w:ind/>
    </w:pPr>
  </w:style>
  <w:style w:type="paragraph" w:styleId="987">
    <w:name w:val="Caption"/>
    <w:basedOn w:val="1005"/>
    <w:next w:val="100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988">
    <w:name w:val="Footnote Text Char"/>
    <w:basedOn w:val="1008"/>
    <w:link w:val="1031"/>
    <w:uiPriority w:val="99"/>
    <w:semiHidden/>
    <w:pPr>
      <w:pBdr/>
      <w:spacing/>
      <w:ind/>
    </w:pPr>
    <w:rPr>
      <w:sz w:val="20"/>
      <w:szCs w:val="20"/>
    </w:rPr>
  </w:style>
  <w:style w:type="paragraph" w:styleId="989">
    <w:name w:val="endnote text"/>
    <w:basedOn w:val="1005"/>
    <w:link w:val="9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90">
    <w:name w:val="Endnote Text Char"/>
    <w:basedOn w:val="1008"/>
    <w:link w:val="989"/>
    <w:uiPriority w:val="99"/>
    <w:semiHidden/>
    <w:pPr>
      <w:pBdr/>
      <w:spacing/>
      <w:ind/>
    </w:pPr>
    <w:rPr>
      <w:sz w:val="20"/>
      <w:szCs w:val="20"/>
    </w:rPr>
  </w:style>
  <w:style w:type="character" w:styleId="991">
    <w:name w:val="endnote reference"/>
    <w:basedOn w:val="1008"/>
    <w:uiPriority w:val="99"/>
    <w:semiHidden/>
    <w:unhideWhenUsed/>
    <w:pPr>
      <w:pBdr/>
      <w:spacing/>
      <w:ind/>
    </w:pPr>
    <w:rPr>
      <w:vertAlign w:val="superscript"/>
    </w:rPr>
  </w:style>
  <w:style w:type="character" w:styleId="992">
    <w:name w:val="FollowedHyperlink"/>
    <w:basedOn w:val="10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93">
    <w:name w:val="toc 1"/>
    <w:basedOn w:val="1005"/>
    <w:next w:val="1005"/>
    <w:uiPriority w:val="39"/>
    <w:unhideWhenUsed/>
    <w:pPr>
      <w:pBdr/>
      <w:spacing w:after="100"/>
      <w:ind/>
    </w:pPr>
  </w:style>
  <w:style w:type="paragraph" w:styleId="994">
    <w:name w:val="toc 2"/>
    <w:basedOn w:val="1005"/>
    <w:next w:val="1005"/>
    <w:uiPriority w:val="39"/>
    <w:unhideWhenUsed/>
    <w:pPr>
      <w:pBdr/>
      <w:spacing w:after="100"/>
      <w:ind w:left="220"/>
    </w:pPr>
  </w:style>
  <w:style w:type="paragraph" w:styleId="995">
    <w:name w:val="toc 3"/>
    <w:basedOn w:val="1005"/>
    <w:next w:val="1005"/>
    <w:uiPriority w:val="39"/>
    <w:unhideWhenUsed/>
    <w:pPr>
      <w:pBdr/>
      <w:spacing w:after="100"/>
      <w:ind w:left="440"/>
    </w:pPr>
  </w:style>
  <w:style w:type="paragraph" w:styleId="996">
    <w:name w:val="toc 4"/>
    <w:basedOn w:val="1005"/>
    <w:next w:val="1005"/>
    <w:uiPriority w:val="39"/>
    <w:unhideWhenUsed/>
    <w:pPr>
      <w:pBdr/>
      <w:spacing w:after="100"/>
      <w:ind w:left="660"/>
    </w:pPr>
  </w:style>
  <w:style w:type="paragraph" w:styleId="997">
    <w:name w:val="toc 5"/>
    <w:basedOn w:val="1005"/>
    <w:next w:val="1005"/>
    <w:uiPriority w:val="39"/>
    <w:unhideWhenUsed/>
    <w:pPr>
      <w:pBdr/>
      <w:spacing w:after="100"/>
      <w:ind w:left="880"/>
    </w:pPr>
  </w:style>
  <w:style w:type="paragraph" w:styleId="998">
    <w:name w:val="toc 6"/>
    <w:basedOn w:val="1005"/>
    <w:next w:val="1005"/>
    <w:uiPriority w:val="39"/>
    <w:unhideWhenUsed/>
    <w:pPr>
      <w:pBdr/>
      <w:spacing w:after="100"/>
      <w:ind w:left="1100"/>
    </w:pPr>
  </w:style>
  <w:style w:type="paragraph" w:styleId="999">
    <w:name w:val="toc 7"/>
    <w:basedOn w:val="1005"/>
    <w:next w:val="1005"/>
    <w:uiPriority w:val="39"/>
    <w:unhideWhenUsed/>
    <w:pPr>
      <w:pBdr/>
      <w:spacing w:after="100"/>
      <w:ind w:left="1320"/>
    </w:pPr>
  </w:style>
  <w:style w:type="paragraph" w:styleId="1000">
    <w:name w:val="toc 8"/>
    <w:basedOn w:val="1005"/>
    <w:next w:val="1005"/>
    <w:uiPriority w:val="39"/>
    <w:unhideWhenUsed/>
    <w:pPr>
      <w:pBdr/>
      <w:spacing w:after="100"/>
      <w:ind w:left="1540"/>
    </w:pPr>
  </w:style>
  <w:style w:type="paragraph" w:styleId="1001">
    <w:name w:val="toc 9"/>
    <w:basedOn w:val="1005"/>
    <w:next w:val="1005"/>
    <w:uiPriority w:val="39"/>
    <w:unhideWhenUsed/>
    <w:pPr>
      <w:pBdr/>
      <w:spacing w:after="100"/>
      <w:ind w:left="1760"/>
    </w:pPr>
  </w:style>
  <w:style w:type="character" w:styleId="1002">
    <w:name w:val="Placeholder Text"/>
    <w:basedOn w:val="1008"/>
    <w:uiPriority w:val="99"/>
    <w:semiHidden/>
    <w:pPr>
      <w:pBdr/>
      <w:spacing/>
      <w:ind/>
    </w:pPr>
    <w:rPr>
      <w:color w:val="666666"/>
    </w:rPr>
  </w:style>
  <w:style w:type="paragraph" w:styleId="1003">
    <w:name w:val="TOC Heading"/>
    <w:uiPriority w:val="39"/>
    <w:unhideWhenUsed/>
    <w:pPr>
      <w:pBdr/>
      <w:spacing/>
      <w:ind/>
    </w:pPr>
  </w:style>
  <w:style w:type="paragraph" w:styleId="1004">
    <w:name w:val="table of figures"/>
    <w:basedOn w:val="1005"/>
    <w:next w:val="1005"/>
    <w:uiPriority w:val="99"/>
    <w:unhideWhenUsed/>
    <w:pPr>
      <w:pBdr/>
      <w:spacing w:after="0" w:afterAutospacing="0"/>
      <w:ind/>
    </w:pPr>
  </w:style>
  <w:style w:type="paragraph" w:styleId="1005" w:default="1">
    <w:name w:val="Normal"/>
    <w:qFormat/>
    <w:pPr>
      <w:widowControl w:val="false"/>
      <w:pBdr/>
      <w:spacing w:before="60" w:line="360" w:lineRule="auto"/>
      <w:ind w:firstLine="709"/>
      <w:jc w:val="both"/>
    </w:pPr>
    <w:rPr>
      <w:sz w:val="28"/>
    </w:rPr>
  </w:style>
  <w:style w:type="paragraph" w:styleId="1006">
    <w:name w:val="Heading 1"/>
    <w:basedOn w:val="1005"/>
    <w:next w:val="1005"/>
    <w:qFormat/>
    <w:pPr>
      <w:keepNext w:val="true"/>
      <w:pBdr/>
      <w:spacing/>
      <w:ind/>
      <w:jc w:val="center"/>
      <w:outlineLvl w:val="0"/>
    </w:pPr>
  </w:style>
  <w:style w:type="paragraph" w:styleId="1007">
    <w:name w:val="Heading 2"/>
    <w:basedOn w:val="1005"/>
    <w:next w:val="1005"/>
    <w:qFormat/>
    <w:pPr>
      <w:keepNext w:val="true"/>
      <w:pBdr/>
      <w:spacing/>
      <w:ind/>
      <w:outlineLvl w:val="1"/>
    </w:pPr>
  </w:style>
  <w:style w:type="character" w:styleId="1008" w:default="1">
    <w:name w:val="Default Paragraph Font"/>
    <w:uiPriority w:val="1"/>
    <w:semiHidden/>
    <w:unhideWhenUsed/>
    <w:pPr>
      <w:pBdr/>
      <w:spacing/>
      <w:ind/>
    </w:pPr>
  </w:style>
  <w:style w:type="table" w:styleId="100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0" w:default="1">
    <w:name w:val="No List"/>
    <w:uiPriority w:val="99"/>
    <w:semiHidden/>
    <w:unhideWhenUsed/>
    <w:pPr>
      <w:pBdr/>
      <w:spacing/>
      <w:ind/>
    </w:pPr>
  </w:style>
  <w:style w:type="paragraph" w:styleId="1011">
    <w:name w:val="Body Text"/>
    <w:basedOn w:val="1005"/>
    <w:semiHidden/>
    <w:pPr>
      <w:pBdr/>
      <w:spacing/>
      <w:ind/>
    </w:pPr>
  </w:style>
  <w:style w:type="paragraph" w:styleId="1012">
    <w:name w:val="Body Text Indent"/>
    <w:basedOn w:val="1005"/>
    <w:semiHidden/>
    <w:pPr>
      <w:pBdr/>
      <w:spacing w:before="120"/>
      <w:ind w:firstLine="720"/>
      <w:jc w:val="center"/>
    </w:pPr>
  </w:style>
  <w:style w:type="paragraph" w:styleId="1013">
    <w:name w:val="Body Text Indent 2"/>
    <w:basedOn w:val="1005"/>
    <w:semiHidden/>
    <w:pPr>
      <w:pBdr/>
      <w:spacing w:before="120"/>
      <w:ind w:firstLine="720"/>
    </w:pPr>
  </w:style>
  <w:style w:type="paragraph" w:styleId="1014">
    <w:name w:val="Header"/>
    <w:basedOn w:val="1005"/>
    <w:link w:val="1028"/>
    <w:uiPriority w:val="99"/>
    <w:pPr>
      <w:pBdr/>
      <w:tabs>
        <w:tab w:val="center" w:leader="none" w:pos="4153"/>
        <w:tab w:val="right" w:leader="none" w:pos="8306"/>
      </w:tabs>
      <w:spacing/>
      <w:ind/>
    </w:pPr>
  </w:style>
  <w:style w:type="paragraph" w:styleId="1015" w:customStyle="1">
    <w:name w:val="На_номер"/>
    <w:basedOn w:val="1005"/>
    <w:pPr>
      <w:pBdr/>
      <w:spacing w:before="0" w:line="240" w:lineRule="auto"/>
      <w:ind w:firstLine="0"/>
      <w:jc w:val="left"/>
    </w:pPr>
    <w:rPr>
      <w:sz w:val="24"/>
    </w:rPr>
  </w:style>
  <w:style w:type="paragraph" w:styleId="1016" w:customStyle="1">
    <w:name w:val="О_чем"/>
    <w:basedOn w:val="1005"/>
    <w:pPr>
      <w:pBdr/>
      <w:spacing w:before="0" w:line="240" w:lineRule="auto"/>
      <w:ind w:firstLine="0"/>
      <w:jc w:val="left"/>
    </w:pPr>
    <w:rPr>
      <w:b/>
    </w:rPr>
  </w:style>
  <w:style w:type="paragraph" w:styleId="1017" w:customStyle="1">
    <w:name w:val="Адресат"/>
    <w:basedOn w:val="1005"/>
    <w:pPr>
      <w:pBdr/>
      <w:spacing w:line="240" w:lineRule="auto"/>
      <w:ind w:firstLine="0" w:left="7258"/>
      <w:jc w:val="left"/>
    </w:pPr>
  </w:style>
  <w:style w:type="paragraph" w:styleId="1018" w:customStyle="1">
    <w:name w:val="Обращение"/>
    <w:basedOn w:val="1005"/>
    <w:pPr>
      <w:pBdr/>
      <w:spacing w:after="360" w:before="360" w:line="240" w:lineRule="auto"/>
      <w:ind w:firstLine="0"/>
      <w:jc w:val="center"/>
    </w:pPr>
    <w:rPr>
      <w:b/>
      <w:i/>
    </w:rPr>
  </w:style>
  <w:style w:type="paragraph" w:styleId="1019" w:customStyle="1">
    <w:name w:val="Подписание"/>
    <w:basedOn w:val="1005"/>
    <w:pPr>
      <w:keepNext w:val="true"/>
      <w:widowControl w:val="true"/>
      <w:pBdr/>
      <w:spacing w:before="0" w:line="240" w:lineRule="auto"/>
      <w:ind/>
    </w:pPr>
  </w:style>
  <w:style w:type="paragraph" w:styleId="1020">
    <w:name w:val="Footer"/>
    <w:basedOn w:val="1005"/>
    <w:semiHidden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1021">
    <w:name w:val="page number"/>
    <w:basedOn w:val="1008"/>
    <w:semiHidden/>
    <w:pPr>
      <w:pBdr/>
      <w:spacing/>
      <w:ind/>
    </w:pPr>
  </w:style>
  <w:style w:type="paragraph" w:styleId="1022" w:customStyle="1">
    <w:name w:val="Исполнитель"/>
    <w:basedOn w:val="1020"/>
    <w:pPr>
      <w:pBdr/>
      <w:spacing w:before="0" w:line="240" w:lineRule="auto"/>
      <w:ind w:firstLine="0"/>
      <w:jc w:val="left"/>
    </w:pPr>
    <w:rPr>
      <w:sz w:val="20"/>
    </w:rPr>
  </w:style>
  <w:style w:type="paragraph" w:styleId="1023" w:customStyle="1">
    <w:name w:val="Номер_страницы"/>
    <w:basedOn w:val="1005"/>
    <w:pPr>
      <w:framePr w:hAnchor="margin" w:vAnchor="text" w:wrap="around" w:xAlign="center" w:y="1"/>
      <w:pBdr/>
      <w:spacing w:before="0" w:line="240" w:lineRule="auto"/>
      <w:ind w:firstLine="0"/>
      <w:jc w:val="center"/>
    </w:pPr>
  </w:style>
  <w:style w:type="paragraph" w:styleId="1024">
    <w:name w:val="Balloon Text"/>
    <w:basedOn w:val="1005"/>
    <w:link w:val="1025"/>
    <w:uiPriority w:val="99"/>
    <w:semiHidden/>
    <w:unhideWhenUsed/>
    <w:pPr>
      <w:pBdr/>
      <w:spacing w:before="0" w:line="240" w:lineRule="auto"/>
      <w:ind/>
    </w:pPr>
    <w:rPr>
      <w:rFonts w:ascii="Tahoma" w:hAnsi="Tahoma" w:cs="Tahoma"/>
      <w:sz w:val="16"/>
      <w:szCs w:val="16"/>
    </w:rPr>
  </w:style>
  <w:style w:type="character" w:styleId="1025" w:customStyle="1">
    <w:name w:val="Текст выноски Знак"/>
    <w:link w:val="10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26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1027">
    <w:name w:val="No Spacing"/>
    <w:uiPriority w:val="1"/>
    <w:qFormat/>
    <w:pPr>
      <w:widowControl w:val="false"/>
      <w:pBdr/>
      <w:spacing/>
      <w:ind w:firstLine="709"/>
      <w:jc w:val="both"/>
    </w:pPr>
    <w:rPr>
      <w:sz w:val="28"/>
    </w:rPr>
  </w:style>
  <w:style w:type="character" w:styleId="1028" w:customStyle="1">
    <w:name w:val="Верхний колонтитул Знак"/>
    <w:link w:val="1014"/>
    <w:uiPriority w:val="99"/>
    <w:pPr>
      <w:pBdr/>
      <w:spacing/>
      <w:ind/>
    </w:pPr>
    <w:rPr>
      <w:sz w:val="28"/>
    </w:rPr>
  </w:style>
  <w:style w:type="character" w:styleId="1029">
    <w:name w:val="Emphasis"/>
    <w:uiPriority w:val="20"/>
    <w:qFormat/>
    <w:pPr>
      <w:pBdr/>
      <w:spacing/>
      <w:ind/>
    </w:pPr>
    <w:rPr>
      <w:i/>
      <w:iCs/>
    </w:rPr>
  </w:style>
  <w:style w:type="paragraph" w:styleId="1030">
    <w:name w:val="List Paragraph"/>
    <w:basedOn w:val="1005"/>
    <w:uiPriority w:val="34"/>
    <w:qFormat/>
    <w:pPr>
      <w:pBdr/>
      <w:spacing/>
      <w:ind w:left="720"/>
      <w:contextualSpacing w:val="true"/>
    </w:pPr>
  </w:style>
  <w:style w:type="paragraph" w:styleId="1031">
    <w:name w:val="footnote text"/>
    <w:basedOn w:val="1005"/>
    <w:link w:val="1032"/>
    <w:uiPriority w:val="99"/>
    <w:semiHidden/>
    <w:unhideWhenUsed/>
    <w:pPr>
      <w:pBdr/>
      <w:spacing w:before="0" w:line="240" w:lineRule="auto"/>
      <w:ind/>
    </w:pPr>
    <w:rPr>
      <w:sz w:val="20"/>
    </w:rPr>
  </w:style>
  <w:style w:type="character" w:styleId="1032" w:customStyle="1">
    <w:name w:val="Текст сноски Знак"/>
    <w:basedOn w:val="1008"/>
    <w:link w:val="1031"/>
    <w:uiPriority w:val="99"/>
    <w:semiHidden/>
    <w:pPr>
      <w:pBdr/>
      <w:spacing/>
      <w:ind/>
    </w:pPr>
  </w:style>
  <w:style w:type="character" w:styleId="1033">
    <w:name w:val="footnote reference"/>
    <w:basedOn w:val="1008"/>
    <w:uiPriority w:val="99"/>
    <w:semiHidden/>
    <w:unhideWhenUsed/>
    <w:pPr>
      <w:pBdr/>
      <w:spacing/>
      <w:ind/>
    </w:pPr>
    <w:rPr>
      <w:vertAlign w:val="superscript"/>
    </w:rPr>
  </w:style>
  <w:style w:type="paragraph" w:styleId="1034">
    <w:name w:val="Normal (Web)"/>
    <w:basedOn w:val="1005"/>
    <w:uiPriority w:val="99"/>
    <w:semiHidden/>
    <w:unhideWhenUsed/>
    <w:pPr>
      <w:widowControl w:val="true"/>
      <w:pBdr/>
      <w:spacing w:after="100" w:afterAutospacing="1" w:before="100" w:beforeAutospacing="1" w:line="240" w:lineRule="auto"/>
      <w:ind w:firstLine="0"/>
      <w:jc w:val="left"/>
    </w:pPr>
    <w:rPr>
      <w:sz w:val="24"/>
      <w:szCs w:val="24"/>
    </w:rPr>
  </w:style>
  <w:style w:type="character" w:styleId="1035" w:customStyle="1">
    <w:name w:val="Unresolved Mention"/>
    <w:basedOn w:val="100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36" w:customStyle="1">
    <w:name w:val="ConsPlusTitle"/>
    <w:uiPriority w:val="99"/>
    <w:pPr>
      <w:widowControl w:val="false"/>
      <w:pBdr/>
      <w:spacing/>
      <w:ind/>
    </w:pPr>
    <w:rPr>
      <w:b/>
      <w:bCs/>
      <w:sz w:val="24"/>
      <w:szCs w:val="24"/>
    </w:rPr>
  </w:style>
  <w:style w:type="paragraph" w:styleId="1037" w:customStyle="1">
    <w:name w:val="ConsPlusNormal"/>
    <w:link w:val="1038"/>
    <w:pPr>
      <w:pBdr/>
      <w:spacing/>
      <w:ind w:firstLine="720"/>
    </w:pPr>
    <w:rPr>
      <w:rFonts w:ascii="Arial" w:hAnsi="Arial" w:eastAsia="Calibri" w:cs="Arial"/>
      <w:lang w:eastAsia="en-US"/>
    </w:rPr>
  </w:style>
  <w:style w:type="character" w:styleId="1038" w:customStyle="1">
    <w:name w:val="ConsPlusNormal Знак"/>
    <w:link w:val="1037"/>
    <w:pPr>
      <w:pBdr/>
      <w:spacing/>
      <w:ind/>
    </w:pPr>
    <w:rPr>
      <w:rFonts w:ascii="Arial" w:hAnsi="Arial" w:eastAsia="Calibri" w:cs="Arial"/>
      <w:lang w:eastAsia="en-US"/>
    </w:rPr>
  </w:style>
  <w:style w:type="character" w:styleId="1039">
    <w:name w:val="annotation reference"/>
    <w:basedOn w:val="1008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040">
    <w:name w:val="annotation text"/>
    <w:basedOn w:val="1005"/>
    <w:link w:val="1041"/>
    <w:uiPriority w:val="99"/>
    <w:semiHidden/>
    <w:unhideWhenUsed/>
    <w:pPr>
      <w:pBdr/>
      <w:spacing w:line="240" w:lineRule="auto"/>
      <w:ind/>
    </w:pPr>
    <w:rPr>
      <w:sz w:val="20"/>
    </w:rPr>
  </w:style>
  <w:style w:type="character" w:styleId="1041" w:customStyle="1">
    <w:name w:val="Текст примечания Знак"/>
    <w:basedOn w:val="1008"/>
    <w:link w:val="1040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1152280E-0A19-4DB9-A737-006D48E4CAC3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>ЦЭСИ РТ при КМ РТ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</dc:title>
  <dc:subject/>
  <dc:creator>Мигунов Владимир Владимирович</dc:creator>
  <cp:keywords/>
  <cp:revision>17</cp:revision>
  <dcterms:created xsi:type="dcterms:W3CDTF">2024-07-29T09:11:00Z</dcterms:created>
  <dcterms:modified xsi:type="dcterms:W3CDTF">2026-04-20T12:57:09Z</dcterms:modified>
</cp:coreProperties>
</file>