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360" w:before="0" w:after="0"/>
        <w:ind w:left="0" w:right="5386" w:hanging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ConsPlusTitle"/>
        <w:widowControl w:val="false"/>
        <w:suppressAutoHyphens w:val="true"/>
        <w:bidi w:val="0"/>
        <w:spacing w:lineRule="auto" w:line="240" w:before="0" w:after="0"/>
        <w:ind w:left="0" w:right="5386" w:hanging="0"/>
        <w:jc w:val="left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 w:val="false"/>
          <w:bCs w:val="false"/>
          <w:color w:val="auto"/>
          <w:sz w:val="28"/>
          <w:szCs w:val="28"/>
        </w:rPr>
        <w:t>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</w:t>
      </w:r>
    </w:p>
    <w:p>
      <w:pPr>
        <w:pStyle w:val="ConsPlusNormal"/>
        <w:spacing w:lineRule="auto" w:line="240"/>
        <w:jc w:val="both"/>
        <w:rPr>
          <w:rFonts w:ascii="Times New Roman" w:hAnsi="Times New Roman"/>
          <w:color w:val="auto"/>
          <w:sz w:val="22"/>
          <w:szCs w:val="22"/>
        </w:rPr>
      </w:pPr>
      <w:r>
        <w:rPr>
          <w:color w:val="auto"/>
          <w:sz w:val="22"/>
          <w:szCs w:val="22"/>
        </w:rPr>
      </w:r>
    </w:p>
    <w:p>
      <w:pPr>
        <w:pStyle w:val="ConsPlusNormal"/>
        <w:spacing w:lineRule="auto" w:line="360"/>
        <w:ind w:firstLine="540"/>
        <w:jc w:val="both"/>
        <w:rPr>
          <w:color w:val="auto"/>
        </w:rPr>
      </w:pPr>
      <w:r>
        <w:rPr>
          <w:color w:val="auto"/>
          <w:sz w:val="28"/>
          <w:szCs w:val="28"/>
        </w:rPr>
        <w:t>В целях актуализации и повышения эффективности регионального государственного контроля (надзора) за соблюдением законодательства об архивном деле на территории Республики Татарстан, обеспечения единообразия проведения контрольно-надзорных мероприятий, а также приведения в соответствие с требованиями действующего законодательства Российской Федерации,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 р и к а з ы в а ю:</w:t>
      </w:r>
    </w:p>
    <w:p>
      <w:pPr>
        <w:pStyle w:val="ConsPlusNormal"/>
        <w:spacing w:lineRule="auto" w:line="36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</w:t>
      </w:r>
      <w:bookmarkStart w:id="0" w:name="P18"/>
      <w:r>
        <w:rPr>
          <w:color w:val="auto"/>
          <w:sz w:val="28"/>
          <w:szCs w:val="28"/>
        </w:rPr>
        <w:t xml:space="preserve"> </w:t>
      </w:r>
      <w:bookmarkEnd w:id="0"/>
      <w:r>
        <w:rPr>
          <w:color w:val="auto"/>
          <w:sz w:val="28"/>
          <w:szCs w:val="28"/>
        </w:rPr>
        <w:t>Утвердить прилагаемые формы в новой редакции:</w:t>
      </w:r>
    </w:p>
    <w:p>
      <w:pPr>
        <w:pStyle w:val="ConsPlusNormal"/>
        <w:spacing w:lineRule="auto" w:line="360" w:before="0" w:after="0"/>
        <w:ind w:firstLine="540"/>
        <w:jc w:val="both"/>
        <w:rPr/>
      </w:pPr>
      <w:r>
        <w:rPr>
          <w:color w:val="auto"/>
          <w:sz w:val="28"/>
          <w:szCs w:val="28"/>
        </w:rPr>
        <w:t xml:space="preserve">- проверочного </w:t>
      </w:r>
      <w:hyperlink w:anchor="P50" w:tgtFrame=" Проверочный лист">
        <w:r>
          <w:rPr>
            <w:color w:val="auto"/>
            <w:sz w:val="28"/>
            <w:szCs w:val="28"/>
          </w:rPr>
          <w:t>листа</w:t>
        </w:r>
      </w:hyperlink>
      <w:r>
        <w:rPr>
          <w:color w:val="auto"/>
          <w:sz w:val="28"/>
          <w:szCs w:val="28"/>
        </w:rPr>
        <w:t xml:space="preserve"> (списка контрольных вопросов), применяемый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 в отношении юридических лиц;</w:t>
      </w:r>
    </w:p>
    <w:p>
      <w:pPr>
        <w:pStyle w:val="ConsPlusNormal"/>
        <w:spacing w:lineRule="auto" w:line="360" w:before="0" w:after="0"/>
        <w:ind w:firstLine="540"/>
        <w:jc w:val="both"/>
        <w:rPr/>
      </w:pPr>
      <w:r>
        <w:rPr>
          <w:color w:val="auto"/>
          <w:sz w:val="28"/>
          <w:szCs w:val="28"/>
        </w:rPr>
        <w:t xml:space="preserve">- проверочного </w:t>
      </w:r>
      <w:hyperlink w:anchor="P499" w:tgtFrame=" Проверочный лист">
        <w:r>
          <w:rPr>
            <w:color w:val="auto"/>
            <w:sz w:val="28"/>
            <w:szCs w:val="28"/>
          </w:rPr>
          <w:t>листа</w:t>
        </w:r>
      </w:hyperlink>
      <w:r>
        <w:rPr>
          <w:color w:val="auto"/>
          <w:sz w:val="28"/>
          <w:szCs w:val="28"/>
        </w:rPr>
        <w:t xml:space="preserve"> (списка контрольных вопросов), применяемый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 в отношении государственных и муниципальных архивов Республики Татарстан.</w:t>
      </w:r>
    </w:p>
    <w:p>
      <w:pPr>
        <w:pStyle w:val="ConsPlusNormal"/>
        <w:spacing w:lineRule="auto" w:line="360" w:before="0" w:after="0"/>
        <w:ind w:firstLine="540"/>
        <w:jc w:val="both"/>
        <w:rPr/>
      </w:pPr>
      <w:r>
        <w:rPr>
          <w:color w:val="auto"/>
          <w:sz w:val="28"/>
          <w:szCs w:val="28"/>
        </w:rPr>
        <w:t xml:space="preserve">2. Должностным лицам Государственного комитета Республики Татарстан по архивному делу, уполномоченным на осуществление регионального государственного контроля (надзора) за соблюдением законодательства об архивном деле на территории Республики Татарстан при проведении плановых контрольно-надзорных мероприятий обеспечить заполнение и подписание проверочных листов (списков контрольных вопросов), указанных в </w:t>
      </w:r>
      <w:hyperlink w:anchor="P18" w:tgtFrame="1. Утвердить прилагаемые формы:">
        <w:r>
          <w:rPr>
            <w:color w:val="auto"/>
            <w:sz w:val="28"/>
            <w:szCs w:val="28"/>
          </w:rPr>
          <w:t>пункте 1</w:t>
        </w:r>
      </w:hyperlink>
      <w:r>
        <w:rPr>
          <w:color w:val="auto"/>
          <w:sz w:val="28"/>
          <w:szCs w:val="28"/>
        </w:rPr>
        <w:t xml:space="preserve"> настоящего приказа.</w:t>
      </w:r>
    </w:p>
    <w:p>
      <w:pPr>
        <w:pStyle w:val="ConsPlusNormal"/>
        <w:spacing w:lineRule="auto" w:line="360" w:before="0" w:after="0"/>
        <w:ind w:firstLine="540"/>
        <w:jc w:val="both"/>
        <w:rPr/>
      </w:pPr>
      <w:r>
        <w:rPr>
          <w:color w:val="auto"/>
          <w:sz w:val="28"/>
          <w:szCs w:val="28"/>
        </w:rPr>
        <w:t xml:space="preserve">3.  </w:t>
      </w:r>
      <w:r>
        <w:rPr>
          <w:rFonts w:cs="Times New Roman"/>
          <w:color w:val="000000" w:themeColor="text1"/>
          <w:sz w:val="28"/>
          <w:szCs w:val="28"/>
        </w:rPr>
        <w:t>Признать утратившим силу приказ Государственного комитета Республики Татарстан по архивному делу от 28.02.2022 № 40-од «Об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Татарстан».</w:t>
      </w:r>
    </w:p>
    <w:p>
      <w:pPr>
        <w:pStyle w:val="ConsPlusNormal"/>
        <w:spacing w:lineRule="auto" w:line="360"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4. Сектору государственного контроля Государственного комитета Республики Татарстан по архивному делу обеспечить размещение настоящего приказа на официальном сайте Государственного комитета Республики Татарстан по архивному делу в сети «Интернет».</w:t>
      </w:r>
    </w:p>
    <w:p>
      <w:pPr>
        <w:pStyle w:val="ConsPlusNormal"/>
        <w:spacing w:lineRule="auto" w:line="360"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 Контроль за исполнением настоящего приказа возложить на заместителя председателя А.Р.Галимянову.</w:t>
      </w:r>
    </w:p>
    <w:p>
      <w:pPr>
        <w:pStyle w:val="ConsPlusNormal"/>
        <w:spacing w:lineRule="auto" w:line="360" w:before="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spacing w:lineRule="auto" w:line="240" w:before="240" w:after="0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Председатель                                                                           Габдрахманова Г.З.</w:t>
      </w:r>
    </w:p>
    <w:p>
      <w:pPr>
        <w:pStyle w:val="ConsPlusNormal"/>
        <w:spacing w:lineRule="auto" w:line="240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ConsPlusNormal"/>
        <w:numPr>
          <w:ilvl w:val="0"/>
          <w:numId w:val="0"/>
        </w:numPr>
        <w:ind w:left="0" w:hanging="0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Утвержден приказом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Государственного комитета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Республики Татарстан по архивному делу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от _________________№________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>Форма</w: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behindDoc="0" distT="8890" distB="8890" distL="8890" distR="8890" simplePos="0" locked="0" layoutInCell="1" allowOverlap="1" relativeHeight="2">
                <wp:simplePos x="0" y="0"/>
                <wp:positionH relativeFrom="column">
                  <wp:posOffset>4920615</wp:posOffset>
                </wp:positionH>
                <wp:positionV relativeFrom="paragraph">
                  <wp:posOffset>81280</wp:posOffset>
                </wp:positionV>
                <wp:extent cx="1882775" cy="1347470"/>
                <wp:effectExtent l="8890" t="8890" r="8890" b="8890"/>
                <wp:wrapNone/>
                <wp:docPr id="1" name="Врезка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800" cy="1347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76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2"/>
                              <w:overflowPunct w:val="true"/>
                              <w:spacing w:lineRule="auto" w:line="4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22"/>
                              <w:overflowPunct w:val="true"/>
                              <w:spacing w:lineRule="auto" w:line="48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  <w:t>QR-код</w:t>
                            </w:r>
                          </w:p>
                        </w:txbxContent>
                      </wps:txbx>
                      <wps:bodyPr lIns="-26640" rIns="-26640" tIns="-26640" bIns="-2664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 1" path="m0,0l-2147483645,0l-2147483645,-2147483646l0,-2147483646xe" fillcolor="white" stroked="t" o:allowincell="f" style="position:absolute;margin-left:387.45pt;margin-top:6.4pt;width:148.2pt;height:106.05pt;mso-wrap-style:square;v-text-anchor:top">
                <v:fill o:detectmouseclick="t" type="solid" color2="black"/>
                <v:stroke color="black" weight="17640" joinstyle="round" endcap="flat"/>
                <v:textbox>
                  <w:txbxContent>
                    <w:p>
                      <w:pPr>
                        <w:pStyle w:val="Style22"/>
                        <w:overflowPunct w:val="true"/>
                        <w:spacing w:lineRule="auto" w:line="4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22"/>
                        <w:overflowPunct w:val="true"/>
                        <w:spacing w:lineRule="auto" w:line="48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  <w:t>QR-код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bookmarkStart w:id="1" w:name="P50"/>
      <w:bookmarkEnd w:id="1"/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Проверочный лист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(список контрольных вопросов), применяемый при осуществления </w:t>
      </w:r>
    </w:p>
    <w:p>
      <w:pPr>
        <w:pStyle w:val="ConsPlusNonforma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регионального государственного контроля (надзора) за соблюдением законодательства об архивном деле на территории Республики Татарстан в отношении государственных, муниципальных архивов и юридических лиц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Дата заполнения проверочного листа: "___" ________ 20__ года.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Наименование контрольного (надзорного) органа: Государственный комитет Республики Татарстан по архивному делу (далее - Госкомитет).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Реквизиты нормативного   правового  акта об утверждении  формы проверочного листа: приказ Госкомитета от "___" ________ 2020 № __________.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Наименование вида контроля, включенного в единый реестр видов регионального государственного контроля (надзора): региональный государственный контроль  (надзор) за соблюдением законодательства об архивном деле на территории Республики Татарстан.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Вид контрольного (надзорного) мероприятия: ________________________.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Объект государственного контроля (надзора), в отношении которого проводится контрольное (надзорное) мероприятие: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Место (места) проведения контрольного (надзорного) мероприятия с заполнением проверочного листа: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Реквизиты решения контрольного (надзорного) органа о проведении контрольного (надзорного) мероприятия: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 Госкомархива РТ от "___" __________ 20 ___года № _______.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 Учетный номер контрольного (надзорного) мероприятия: _____________.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11. Должность, фамилия и инициалы должностного лица контрольного (надзорного)  органа,  проводящего  контрольное  (надзорное) мероприятие и заполняющего проверочный лист:</w:t>
      </w:r>
    </w:p>
    <w:p>
      <w:pPr>
        <w:pStyle w:val="ConsPlusNonformat"/>
        <w:widowControl w:val="false"/>
        <w:bidi w:val="0"/>
        <w:spacing w:lineRule="auto" w:line="240" w:before="0" w:after="0"/>
        <w:ind w:left="0" w:right="0" w:hanging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___________________________________________________________________.</w:t>
      </w:r>
    </w:p>
    <w:p>
      <w:pPr>
        <w:sectPr>
          <w:type w:val="nextPage"/>
          <w:pgSz w:w="11906" w:h="16838"/>
          <w:pgMar w:left="1134" w:right="850" w:gutter="0" w:header="0" w:top="850" w:footer="0" w:bottom="850"/>
          <w:pgNumType w:fmt="decimal"/>
          <w:formProt w:val="false"/>
          <w:titlePg/>
          <w:textDirection w:val="lrTb"/>
          <w:docGrid w:type="default" w:linePitch="100" w:charSpace="8192"/>
        </w:sectPr>
        <w:pStyle w:val="ConsPlusNonformat"/>
        <w:widowControl w:val="false"/>
        <w:bidi w:val="0"/>
        <w:spacing w:lineRule="auto" w:line="240" w:before="0" w:after="0"/>
        <w:ind w:left="0" w:right="0" w:firstLine="8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12. Список  контрольных  вопросов, 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требований:</w:t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tbl>
      <w:tblPr>
        <w:tblW w:w="14629" w:type="dxa"/>
        <w:jc w:val="left"/>
        <w:tblInd w:w="6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446"/>
        <w:gridCol w:w="3490"/>
        <w:gridCol w:w="3352"/>
        <w:gridCol w:w="1030"/>
        <w:gridCol w:w="987"/>
        <w:gridCol w:w="2939"/>
        <w:gridCol w:w="2384"/>
      </w:tblGrid>
      <w:tr>
        <w:trPr/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N№ п/п</w:t>
            </w:r>
          </w:p>
        </w:tc>
        <w:tc>
          <w:tcPr>
            <w:tcW w:w="3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Перечень вопросов, отражающих содержание обязательных требований</w:t>
            </w:r>
          </w:p>
        </w:tc>
        <w:tc>
          <w:tcPr>
            <w:tcW w:w="3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Вывод о выполнении требований</w:t>
            </w:r>
          </w:p>
        </w:tc>
        <w:tc>
          <w:tcPr>
            <w:tcW w:w="29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Неприменимо</w:t>
            </w:r>
          </w:p>
        </w:tc>
        <w:tc>
          <w:tcPr>
            <w:tcW w:w="2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Примечание</w:t>
            </w:r>
          </w:p>
        </w:tc>
      </w:tr>
      <w:tr>
        <w:trPr/>
        <w:tc>
          <w:tcPr>
            <w:tcW w:w="4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490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335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  <w:tc>
          <w:tcPr>
            <w:tcW w:w="293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Наличие организационно распорядительных документов, регулирующих архивное дело в организации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правовой акт о создании архива и положения об архиве организации (предприятия, учреждения)?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13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hyperlink r:id="rId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17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от 22 октября 2004 года № 125-ФЗ "Об архивном деле в Российской Федерации" (далее - Федеральный закон № 125-ФЗ).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организационно-распорядительные документы о назначении ответственного в организации за обеспечение сохранности архивных документов и документов Архивного Фонда Российской Федерации (за архив), а также их учет, комплектование и использование, передачу на постоянное хранение в государственные или муниципальные архивы, в том числе документов по личному составу?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13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hyperlink r:id="rId5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21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hyperlink r:id="rId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23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1-3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утвержденный приказом Росархива от 31.07.2023 № 77 (далее — Правила Росархива)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помещения под архив, соответствующего нормативному режиму хранения архивных документов?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Статья 13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/>
            </w:pPr>
            <w:hyperlink r:id="rId8" w:tgtFrame="Закон РТ от 20.07.2017 N 63-ЗРТ (ред. от 10.04.2025) Об архивном деле в Республике Татарстан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статья 16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Закона Республики Татарстан от 20 июля 2017 года № 63-ЗРТ "Об архивном деле в Республике Татарстан";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76-93 Правил Росархива.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согласованная с экспертно-проверочной и методической комиссией Госкомитета) и утвержденной руководителем организации (предприятия, учреждения) номенклатура дел?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7-13 Правил Росархива.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349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инструкция по делопроизводству?</w:t>
            </w:r>
          </w:p>
        </w:tc>
        <w:tc>
          <w:tcPr>
            <w:tcW w:w="3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7 Правил Росархива;</w:t>
            </w:r>
          </w:p>
          <w:p>
            <w:pPr>
              <w:pStyle w:val="ConsPlusNormal"/>
              <w:widowControl w:val="false"/>
              <w:jc w:val="both"/>
              <w:rPr/>
            </w:pPr>
            <w:hyperlink r:id="rId9" w:tgtFrame="Приказ Росархива от 22.05.2019 N 71 Об утверждении Правил делопроизводства в государственных органах, органах местного самоуправления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Правила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делопроизводства в государственных органах, органах местного самоуправления, утвержденные приказом Росархива от 22 мая 2019 г. № 71; Примерная инструкция по делопроизводству в государственных организациях, утвержденная приказом Росархива от 11 апреля 2018 г. № 44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Организация хранения документов Архивного фонда Российской Федерации и других архивных документов в организации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противопожарный режим в здании и/или помещении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0" w:tgtFrame="Постановление Правительства РФ от 16.09.2020 N 1479 (ред. от 03.02.2025) Об утверждении Правил противопожарного режима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Правила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противопожарного режима в Российской Федерации, утвержденных постановлением Правительства Российской Федерации от 16 сентября 2020 г. № 1479;</w:t>
            </w:r>
          </w:p>
          <w:p>
            <w:pPr>
              <w:pStyle w:val="ConsPlusNormal"/>
              <w:widowControl w:val="false"/>
              <w:jc w:val="both"/>
              <w:rPr/>
            </w:pPr>
            <w:hyperlink r:id="rId1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7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6, 85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охранный режим в здании и/или помещении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76, 86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9.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Соответствует ли организация хранения и размещение архивных документов, специальные средства хранения и перемещения архивных документов (стеллажи, шкафы, сейфы, коробки, папки и др.) параметрам, установленным для документов разных категорий, на разных носителях?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3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76-83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10.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постеллажный топографический указатель?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4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78, 95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пофондовый топографический указатель (при большом количестве фондов)?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78, 95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световой режим в здании и/или помещении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76, 87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температурно-влажностный режим в здании и/или помещении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76, 78, 88-92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контрольно-измерительные приборы температуры и относительной влажности воздуха, журнала учета температурно-влажностного режима?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90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санитарно-гигиенический режим в здании и/или помещении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19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76, 92-93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Соблюдаются ли обязательные условия хранения электронных документов в архиве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0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83, 166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Создается ли фонд пользования электронных документов в архиве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 xml:space="preserve">Пункты 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114, 138, 164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проведения и периодичность проверок наличия и состояния документов в архиве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7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6, 97-103, 113, 137, 152-153, 167, 202, 223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19.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акты проверки наличия и состояния архивных документов и соответствующих записей, внесенных в учетные документы по итогам проверки наличия и состояния архивных документов?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3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7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6, 97-103, 113, 137, 152-153, 167, 202, 223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20.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письменные разрешения руководителя архива или руководителя (структурного подразделения) организации (учреждения, предприятия) на выдачу архивных документов?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4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07-111, 211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Выдаются ли документы из архивохранилища? Регистрируются ли документы в книге выдачи дел? Оформляются ли заказом (служебной запиской) на выдачу дел?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07-111, 118, 172, 211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Оформляется ли выдача архивных документов, копий фонда пользования в сторонние организации актом о выдаче дел во временное пользование?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07-111, 118, 172, 211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Используются ли карты-заместители дела при выдаче архивных дел?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 11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Организация учета документов Архивного фонда Российской Федерации и других архивных документов в организации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паспорт архива организации (учреждения, предприятия)?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 11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книга учета поступления и выбытия дел документов, установленной формы?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29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Пункты 11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8-120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ли, оформление и комплектность описей дел постоянного, временного (свыше 10 лет) сроков хранения, по личному составу, электронных дел постоянного хранения, электронных дел временных (свыше 10 лет) сроков хранения, утвержденных и согласованных экспертно-проверочной и методической комиссией Госкомитета?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0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23, 48-72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список фондов, установленной формы?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1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118, 124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дело фонда?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2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7, 67, 118, 124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29.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лист фонда, установленной формы?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3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118, 121, 124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30.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реестр описей, установленной формы?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4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118, 125, 130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учета документов Архивного фонда Российской Федерации и других архивных документов в организации?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Статья 19 Федерального закона № 125-ФЗ</w:t>
            </w:r>
          </w:p>
          <w:p>
            <w:pPr>
              <w:pStyle w:val="ConsPlusNormal"/>
              <w:widowControl w:val="false"/>
              <w:jc w:val="both"/>
              <w:rPr/>
            </w:pPr>
            <w:hyperlink r:id="rId35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114 - 118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акты о технических ошибках в учетных документах архива организации (предприятия, учреждения)?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6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103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 об обнаружении документов (не относящихся к данному фонду, неучтенных), установленной формы?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7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103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акты о неисправимых повреждениях архивных документов?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8" w:tgtFrame="Приказ Минкультуры России от 31.03.2015 N 526 Об утверждении 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Пункт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ы 105, 106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Организация комплектования в организации архива документами Архивного фонда Российской Федерации и другими архивными документами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документы, подтверждающие решения о включении в состав Архивного фонда Российской Федерации архивных документов?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39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Статья 6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17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правовой акт о создании и составе экспертной комиссии организации (предприятия, учреждения), положения об экспертной комиссии и протоколов ее заседаний?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</w:t>
            </w:r>
            <w:hyperlink r:id="rId40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татья 6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14-18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Соблюдаются ли сроки и порядок проведения экспертизы ценности в организации, упорядочения документов?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20-33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Отсутствуют ли факты утраты или несанкционированного уничтожения документов Архивного фонда Российской Федерации?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17, 19, 22, 65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39.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акты о выделении к уничтожению документов, не подлежащих хранению, и иных документы, подтверждающие факт сдачи документов на уничтожение (утилизацию)?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17, 19, 22, 65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40.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ли, оформление и физическое состояние архивных документов и документов Архивного фонда Российской Федерации, в том числе электронных документов (единиц хранения)?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7, 48, 50-64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график передачи дел в архив организации (учреждения, предприятия) от структурных подразделений, утвержденный, руководителем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73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приема-передачи дел, в том числе электронных документов, в архив из структурных подразделений?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131, 144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Организация использования документов Архивного фонда Российской Федерации и других архивных документов в организациях</w:t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доступа к архивным документам с учетом ограничений, установленных законодательством Российской Федерации, и/или условий, которые установили собственники или владельцы архивных документов при передаче их в архив?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1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24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- </w:t>
            </w:r>
            <w:hyperlink r:id="rId42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26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86, 144, 173-176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историческая справка к фонду?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29, 122, 214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Ведется ли учет использования архивных документов, в том числе выдачи архивных справок, выписок, копий документов?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журнал (базы данных) регистрации поступающих запросов?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188, 177, 193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и сроки исполнения запросов пользователей?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запросы пользователей о предоставлении информации?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3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2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180, 182-190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оформления архивных справок, архивных выписок и архивных копий, а также порядок получения их пользователями?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4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2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6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180, 182-190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48.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акты об изъятии из дел (возвращении) подлинных личных документов и копий взамен изъятых документов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51, 212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49.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разрешение руководителя организации (учреждения, предприятия) на изъятие из дел (возвращение) подлинных личных документов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51, 212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50.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работы пользователей с архивными документами в читальном зале?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79, 172-176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51.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разрешение руководителя архива организации (лица, ответственного за архив) на работу в помещении архива?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79, 172-176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146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numPr>
                <w:ilvl w:val="0"/>
                <w:numId w:val="0"/>
              </w:numPr>
              <w:ind w:left="0" w:hanging="0"/>
              <w:jc w:val="center"/>
              <w:outlineLvl w:val="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Организация передачи документов Архивного фонда Российской Федерации и других архивных документов организации на хранение в государственный или муниципальный архив</w:t>
            </w:r>
          </w:p>
        </w:tc>
      </w:tr>
      <w:tr>
        <w:trPr>
          <w:trHeight w:val="1232" w:hRule="atLeast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52.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Соблюдаются ли сроки временного хранения документов Архивного фонда Российской Федерации и других архивных документов до их передачи на постоянное хранение в государственный (муниципальный), архив?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5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Статьи 22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, </w:t>
            </w:r>
            <w:hyperlink r:id="rId46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23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 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10, 13, 27-280 47, 48, 158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53.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письменное разрешение государственного (муниципального) архива о продлении сроков хранения документов в архиве организации (учреждения, предприятия), хранящихся сверх установленного срока?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221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54.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 приема-передачи документов на хранение при передаче в государственный (муниципальный) архив?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129, 220-222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55.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Соблюдается ли порядок передачи архивных документов на постоянное хранение в государственный (муниципальный) архив?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/>
            </w:pPr>
            <w:hyperlink r:id="rId47" w:tgtFrame="Федеральный закон от 22.10.2004 N 125-ФЗ (ред. от 13.12.2024) Об архивном деле в Российской Федерации">
              <w:r>
                <w:rPr>
                  <w:rFonts w:eastAsia="NSimSun" w:cs="Times New Roman"/>
                  <w:color w:val="auto"/>
                  <w:kern w:val="0"/>
                  <w:sz w:val="28"/>
                  <w:szCs w:val="28"/>
                  <w:lang w:val="ru-RU" w:eastAsia="ru-RU" w:bidi="ar-SA"/>
                </w:rPr>
                <w:t>Статья 23</w:t>
              </w:r>
            </w:hyperlink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 xml:space="preserve"> Федерального закона № 125-ФЗ;</w:t>
            </w:r>
          </w:p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129, 220-222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56.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Предусмотрено ли организацией (учреждением, предприятием) участие представителя государственного (муниципального) архива в составе ликвидационной комиссии в случае реорганизации или ликвидации организации?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Пункты 35, 44, 225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  <w:tr>
        <w:trPr/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57.</w:t>
            </w:r>
          </w:p>
        </w:tc>
        <w:tc>
          <w:tcPr>
            <w:tcW w:w="3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Имеется ли акт приема-передачи документов архива, учетного и научно справочного аппарата к ним (при смене руководителя архива организации (лица, ответственного за архив организации)?</w:t>
            </w:r>
          </w:p>
        </w:tc>
        <w:tc>
          <w:tcPr>
            <w:tcW w:w="3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Пункт 223 Правил Росархива</w:t>
            </w:r>
          </w:p>
        </w:tc>
        <w:tc>
          <w:tcPr>
            <w:tcW w:w="1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sPlusNormal"/>
              <w:widowControl w:val="false"/>
              <w:rPr>
                <w:rFonts w:ascii="Times New Roman" w:hAnsi="Times New Roman"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NSimSu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</w:r>
          </w:p>
        </w:tc>
      </w:tr>
    </w:tbl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Руководитель группы инспекторов </w:t>
      </w:r>
      <w:r>
        <w:rPr>
          <w:sz w:val="28"/>
          <w:szCs w:val="28"/>
        </w:rPr>
        <w:t>или и</w:t>
      </w:r>
      <w:r>
        <w:rPr>
          <w:sz w:val="28"/>
          <w:szCs w:val="28"/>
        </w:rPr>
        <w:t>нспектор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   ________________________________________________________________   "___" 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подпись      должность, фамилия и инициалы лица органа государственного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>
        <w:rPr>
          <w:rFonts w:ascii="Times New Roman" w:hAnsi="Times New Roman"/>
          <w:sz w:val="28"/>
          <w:szCs w:val="28"/>
        </w:rPr>
        <w:t>контроля (надзора), проводящего проверку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                               ___________________________________________    "___" _________ 20__ г.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подпись                                                должность, фамилия и инициалы представителя 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юридического лица, в отношении которого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проводится проверка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/>
      </w:r>
    </w:p>
    <w:p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Заполняется в</w:t>
      </w:r>
      <w:r>
        <w:rPr>
          <w:rFonts w:ascii="Times New Roman" w:hAnsi="Times New Roman"/>
          <w:sz w:val="28"/>
          <w:szCs w:val="28"/>
        </w:rPr>
        <w:t xml:space="preserve"> случае проведения контрольного (надзорного) мероприятия несколькими инспекторами в составе группы:</w:t>
      </w:r>
    </w:p>
    <w:p>
      <w:pPr>
        <w:pStyle w:val="ConsPlusNonforma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   ________________________________________________________________   "___" ______ 20__ г.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подпись      должность, фамилия и инициалы лица органа государственного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      </w:t>
      </w:r>
      <w:r>
        <w:rPr>
          <w:rFonts w:ascii="Times New Roman" w:hAnsi="Times New Roman"/>
          <w:sz w:val="28"/>
          <w:szCs w:val="28"/>
        </w:rPr>
        <w:t>контроля (надзора), проводящего проверку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   ________________________________________________________________   "___" ______ 20__ г.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подпись      должность, фамилия и инициалы лица органа государственного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контроля (надзора), проводящего проверку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   ________________________________________________________________   "___" ______ 20__ г.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подпись      должность, фамилия и инициалы лица органа государственного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контроля (надзора), проводящего проверку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________   ________________________________________________________________   "___" ______ 20__ г.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>подпись      должность, фамилия и инициалы лица органа государственного</w:t>
      </w:r>
    </w:p>
    <w:p>
      <w:pPr>
        <w:pStyle w:val="ConsPlusNonformat"/>
        <w:jc w:val="both"/>
        <w:rPr/>
      </w:pP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>контроля (надзора), проводящего проверку</w:t>
      </w:r>
    </w:p>
    <w:sectPr>
      <w:type w:val="nextPage"/>
      <w:pgSz w:orient="landscape" w:w="16838" w:h="11906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Noto Sans Devanagari"/>
        <w:lang w:val="ru-RU" w:eastAsia="ru-RU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Noto Sans Devanagari"/>
      <w:color w:val="auto"/>
      <w:kern w:val="0"/>
      <w:sz w:val="20"/>
      <w:szCs w:val="20"/>
      <w:lang w:val="ru-RU" w:eastAsia="ru-RU" w:bidi="ar-SA"/>
    </w:rPr>
  </w:style>
  <w:style w:type="character" w:styleId="-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Microsoft YaHei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default="1" w:customStyle="1">
    <w:name w:val="ConsPlusNorma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Arial" w:hAnsi="Arial" w:eastAsia="NSimSun" w:cs="Arial"/>
      <w:b/>
      <w:color w:val="auto"/>
      <w:kern w:val="0"/>
      <w:sz w:val="24"/>
      <w:szCs w:val="20"/>
      <w:lang w:val="ru-RU" w:eastAsia="ru-RU" w:bidi="ar-SA"/>
    </w:rPr>
  </w:style>
  <w:style w:type="paragraph" w:styleId="ConsPlusCell" w:customStyle="1">
    <w:name w:val="ConsPlusCell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NSimSun" w:cs="Courier New"/>
      <w:color w:val="auto"/>
      <w:kern w:val="0"/>
      <w:sz w:val="20"/>
      <w:szCs w:val="20"/>
      <w:lang w:val="ru-RU" w:eastAsia="ru-RU" w:bidi="ar-SA"/>
    </w:rPr>
  </w:style>
  <w:style w:type="paragraph" w:styleId="ConsPlusDocList" w:customStyle="1">
    <w:name w:val="ConsPlusDoc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18"/>
      <w:szCs w:val="20"/>
      <w:lang w:val="ru-RU" w:eastAsia="ru-RU" w:bidi="ar-SA"/>
    </w:rPr>
  </w:style>
  <w:style w:type="paragraph" w:styleId="ConsPlusTitlePage" w:customStyle="1">
    <w:name w:val="ConsPlusTitlePage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0"/>
      <w:szCs w:val="20"/>
      <w:lang w:val="ru-RU" w:eastAsia="ru-RU" w:bidi="ar-SA"/>
    </w:rPr>
  </w:style>
  <w:style w:type="paragraph" w:styleId="ConsPlusJurTerm" w:customStyle="1">
    <w:name w:val="ConsPlusJurTer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ahoma" w:hAnsi="Tahoma" w:eastAsia="NSimSun" w:cs="Tahoma"/>
      <w:color w:val="auto"/>
      <w:kern w:val="0"/>
      <w:sz w:val="26"/>
      <w:szCs w:val="20"/>
      <w:lang w:val="ru-RU" w:eastAsia="ru-RU" w:bidi="ar-SA"/>
    </w:rPr>
  </w:style>
  <w:style w:type="paragraph" w:styleId="ConsPlusTextList" w:customStyle="1">
    <w:name w:val="ConsPlusTextList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NSimSun" w:cs="Times New Roman"/>
      <w:color w:val="auto"/>
      <w:kern w:val="0"/>
      <w:sz w:val="24"/>
      <w:szCs w:val="20"/>
      <w:lang w:val="ru-RU" w:eastAsia="ru-RU" w:bidi="ar-S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Style19"/>
    <w:pPr/>
    <w:rPr/>
  </w:style>
  <w:style w:type="paragraph" w:styleId="Style21">
    <w:name w:val="Footer"/>
    <w:basedOn w:val="Style19"/>
    <w:pPr/>
    <w:rPr/>
  </w:style>
  <w:style w:type="paragraph" w:styleId="Style22">
    <w:name w:val="Содержимое врезки"/>
    <w:basedOn w:val="Normal"/>
    <w:qFormat/>
    <w:pPr/>
    <w:rPr/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6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7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8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9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2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3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4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5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6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7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8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19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0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1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2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3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4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5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6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7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8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29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0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1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2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3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4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5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6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7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8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39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0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1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2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3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4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5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6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7" Type="http://schemas.openxmlformats.org/officeDocument/2006/relationships/hyperlink" Target="../Desktops/&#1047;&#1072;&#1075;&#1088;&#1091;&#1079;&#1082;&#1080;/%7B&#1050;&#1086;&#1085;&#1089;&#1091;&#1083;&#1100;&#1090;&#1072;&#1085;&#1090;&#1055;&#1083;&#1102;&#1089;%7D" TargetMode="External"/><Relationship Id="rId48" Type="http://schemas.openxmlformats.org/officeDocument/2006/relationships/fontTable" Target="fontTable.xml"/><Relationship Id="rId4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3318</TotalTime>
  <Application>LibreOffice/7.5.6.2$Linux_X86_64 LibreOffice_project/50$Build-2</Application>
  <AppVersion>15.0000</AppVersion>
  <Pages>21</Pages>
  <Words>2165</Words>
  <Characters>16133</Characters>
  <CharactersWithSpaces>18603</CharactersWithSpaces>
  <Paragraphs>257</Paragraphs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2026-01-20T09:49:11Z</dcterms:created>
  <dc:creator/>
  <dc:description/>
  <dc:language>ru-RU</dc:language>
  <cp:lastModifiedBy/>
  <dcterms:modified xsi:type="dcterms:W3CDTF">2026-03-26T10:59:20Z</dcterms:modified>
  <cp:revision>12</cp:revision>
  <dc:subject/>
  <dc:title>Приказ Государственного комитета РТ по архивному делу от 28.02.2022 N 40-од
"Об утверждении форм проверочных листов (списков контрольных вопросов), применяемых при осуществлении регионального государственного контроля (надзора) за соблюдением законодательства об архивном деле на территории Республики Татарстан"
(Зарегистрировано в Минюсте РТ 08.04.2022 N 9023)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