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ascii="Arial" w:hAnsi="Arial" w:eastAsia="Arial" w:cs="Arial"/>
          <w:sz w:val="30"/>
          <w:szCs w:val="30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</w:p>
    <w:p>
      <w:pPr>
        <w:widowControl w:val="off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</w:p>
    <w:p>
      <w:pPr>
        <w:widowControl w:val="off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МИНИСТРОВ РЕСПУБЛИКИ ТАТАРСТАН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ПОСТАНОВЛЕНИЕ</w:t>
      </w:r>
      <w:r>
        <w:rPr>
          <w:smallCaps/>
          <w:color w:val="000000"/>
          <w:sz w:val="28"/>
          <w:szCs w:val="28"/>
        </w:rPr>
      </w:r>
      <w:r>
        <w:rPr>
          <w:smallCaps/>
          <w:color w:val="000000"/>
          <w:sz w:val="28"/>
          <w:szCs w:val="28"/>
        </w:rPr>
      </w:r>
    </w:p>
    <w:p>
      <w:pPr>
        <w:jc w:val="center"/>
        <w:widowControl w:val="off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  <w:r>
        <w:rPr>
          <w:rFonts w:ascii="Arial" w:hAnsi="Arial" w:eastAsia="Arial" w:cs="Arial"/>
          <w:sz w:val="30"/>
          <w:szCs w:val="30"/>
        </w:rPr>
      </w:r>
    </w:p>
    <w:p>
      <w:pPr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                                г.Казань                                              № ________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534"/>
        <w:jc w:val="both"/>
        <w:widowControl w:val="off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</w:r>
      <w:r>
        <w:rPr>
          <w:color w:val="000000"/>
          <w:sz w:val="52"/>
          <w:szCs w:val="52"/>
        </w:rPr>
      </w:r>
      <w:r>
        <w:rPr>
          <w:color w:val="000000"/>
          <w:sz w:val="52"/>
          <w:szCs w:val="52"/>
        </w:rPr>
      </w:r>
    </w:p>
    <w:p>
      <w:pPr>
        <w:ind w:right="453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0" w:lineRule="atLeas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Положение о региональном государственном контроле (надзоре) в сфере туристской индустрии на терри</w:t>
      </w:r>
      <w:r>
        <w:rPr>
          <w:color w:val="000000"/>
          <w:sz w:val="28"/>
          <w:szCs w:val="28"/>
        </w:rPr>
        <w:t xml:space="preserve">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сфере туристской индустрии на территории Республики Татарстан»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534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4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</w:pPr>
      <w:r>
        <w:rPr>
          <w:sz w:val="28"/>
          <w:szCs w:val="28"/>
        </w:rPr>
        <w:t xml:space="preserve">Внести в Положение о региональном государстве</w:t>
      </w:r>
      <w:r>
        <w:rPr>
          <w:sz w:val="28"/>
          <w:szCs w:val="28"/>
        </w:rPr>
        <w:t xml:space="preserve">нном контроле (надзоре) в сфере туристской индустрии на территории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</w:t>
      </w:r>
      <w:r>
        <w:rPr>
          <w:color w:val="000000"/>
          <w:sz w:val="28"/>
          <w:szCs w:val="28"/>
        </w:rPr>
        <w:t xml:space="preserve">фере туристской индустрии на территории Республики Татарстан» (далее – Положение) следующие изменения:</w:t>
      </w:r>
      <w:r/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главе 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пункте 3.7 слова «либо иными указанными в предостережении способами» заменить словами «в том числе посредством единого портала государственных и муни</w:t>
      </w:r>
      <w:r>
        <w:rPr>
          <w:sz w:val="28"/>
          <w:szCs w:val="28"/>
          <w:highlight w:val="white"/>
        </w:rPr>
        <w:t xml:space="preserve">ципальных услуг.»;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пункте 3.11 слова «пунктом 3.11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Положения» заменить словами «пунктом 3.10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Положения»;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3.12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shd w:val="clear" w:color="ffffff" w:themeColor="background1" w:fill="ffffff" w:themeFill="background1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«Консультирование проводится должностными лицами Госкомитета, указанными в пункте 1.5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Положения, в письменной форме при письменном обращении контролируемых лиц (в сроки, установленные Федеральным законом от 2 мая 2006 года </w:t>
      </w:r>
      <w:r>
        <w:rPr>
          <w:sz w:val="28"/>
          <w:szCs w:val="28"/>
          <w:highlight w:val="white"/>
          <w:lang w:val="tt-RU"/>
        </w:rPr>
        <w:t xml:space="preserve">№</w:t>
      </w:r>
      <w:r>
        <w:rPr>
          <w:sz w:val="28"/>
          <w:szCs w:val="28"/>
          <w:highlight w:val="white"/>
        </w:rPr>
        <w:t xml:space="preserve"> 59-ФЗ «О порядке рассмотрения обращений граждан Российской Федерации»), в устной форме по телефону, посредством видео-</w:t>
      </w:r>
      <w:r>
        <w:rPr>
          <w:sz w:val="28"/>
          <w:szCs w:val="28"/>
          <w:highlight w:val="white"/>
        </w:rPr>
        <w:t xml:space="preserve">конференц-связи, использования мобильного приложения «Инспектор», на личном приеме, либо в ходе проведения профилактического мероприятия, контрольного (надзорного) мероприятия.»;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пункте 3.19 слова «не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</w:t>
      </w:r>
      <w:r>
        <w:rPr>
          <w:sz w:val="28"/>
          <w:szCs w:val="28"/>
        </w:rPr>
        <w:t xml:space="preserve">да деятельности по предоставлению гостиничных услуг, а также услуг по временному размещению и обеспечению временного проживания» заменить словами «в отношении контролируемых лиц, сведения о которых включены в реестр классифицированных средств размещения.»;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пункт 3.19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главе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в пункте 4.4 </w:t>
      </w:r>
      <w:r>
        <w:rPr>
          <w:sz w:val="28"/>
          <w:szCs w:val="28"/>
          <w:highlight w:val="white"/>
          <w:lang w:val="ru-RU"/>
        </w:rPr>
        <w:t xml:space="preserve">слова</w:t>
      </w:r>
      <w:r>
        <w:rPr>
          <w:sz w:val="28"/>
          <w:szCs w:val="28"/>
          <w:highlight w:val="white"/>
        </w:rPr>
        <w:t xml:space="preserve"> «пунктами 1, 3, 4, 5, 7,</w:t>
      </w:r>
      <w:r>
        <w:rPr>
          <w:sz w:val="28"/>
          <w:szCs w:val="28"/>
          <w:highlight w:val="white"/>
          <w:lang w:val="ru-RU"/>
        </w:rPr>
        <w:t xml:space="preserve"> 9</w:t>
      </w:r>
      <w:r>
        <w:rPr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  <w:lang w:val="ru-RU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пунктами 1, 3, 4, 5, 7, </w:t>
      </w:r>
      <w:r>
        <w:rPr>
          <w:sz w:val="28"/>
          <w:szCs w:val="28"/>
          <w:highlight w:val="white"/>
          <w:lang w:val="ru-RU"/>
        </w:rPr>
        <w:t xml:space="preserve">8, 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4.5 дополнить подпунктами «в» и «г»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</w:pPr>
      <w:r>
        <w:rPr>
          <w:sz w:val="28"/>
          <w:szCs w:val="28"/>
          <w:highlight w:val="white"/>
        </w:rPr>
        <w:t xml:space="preserve">«в) получение письменных объяснений (при выявлении нарушений обязательных требований</w:t>
      </w:r>
      <w:r>
        <w:rPr>
          <w:sz w:val="28"/>
          <w:szCs w:val="28"/>
        </w:rPr>
        <w:t xml:space="preserve">);</w:t>
      </w:r>
      <w:r/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г) опрос (при выявлении нарушений обязательных требований).»;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пункте 4.5.</w:t>
      </w:r>
      <w:r>
        <w:rPr>
          <w:sz w:val="28"/>
          <w:szCs w:val="28"/>
          <w:highlight w:val="white"/>
        </w:rPr>
        <w:t xml:space="preserve">3 слова «с учетом пункта 4.20 настоящего Положения» заменить словами «с учетом пункта 4.21 настоящего Положения»;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пункт 4.8.4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«Действие требований данного пункта применяются с учетом положений части 7.1. статьи 73 Федерального закона № 248-ФЗ.»;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пункте 4.12 слова «подпункта «г» пункта 2 настоящего Положения» заменить словами «подпункта «г» пункта 1.2 настоящего Положения»;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пункте 4.15 с</w:t>
      </w:r>
      <w:r>
        <w:rPr>
          <w:sz w:val="28"/>
          <w:szCs w:val="28"/>
          <w:highlight w:val="white"/>
        </w:rPr>
        <w:t xml:space="preserve">лова «</w:t>
      </w:r>
      <w:r>
        <w:rPr>
          <w:sz w:val="28"/>
          <w:szCs w:val="28"/>
          <w:highlight w:val="white"/>
        </w:rPr>
        <w:t xml:space="preserve">предусмотренное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 пун</w:t>
      </w:r>
      <w:r>
        <w:rPr>
          <w:sz w:val="28"/>
          <w:szCs w:val="28"/>
        </w:rPr>
        <w:t xml:space="preserve">ктом 4.13 настоящего Положения» заменить словами «</w:t>
      </w:r>
      <w:r>
        <w:rPr>
          <w:sz w:val="28"/>
          <w:szCs w:val="28"/>
        </w:rPr>
        <w:t xml:space="preserve">предусмотренное</w:t>
      </w:r>
      <w:r>
        <w:rPr>
          <w:sz w:val="28"/>
          <w:szCs w:val="28"/>
        </w:rPr>
        <w:t xml:space="preserve"> пунктом 4.14 настоящего Положения»;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пункте 4.18 слова «указанных в пункте 4.16 настоящего Положения» заменить словами «указанных в пункте 4.17 настоящего Положения»;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дополнить пунктами «4.24-4.30»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«4.24. В целях предупреждения, выявления и пресечения нарушений обязательных требований, указанных в подпунктах «в» и «г» пункта 1.2 настоящего Положения, региональный государственный контроль (надзор) может осуществляться в рамках постоянного рейда.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4.25. Должностными лицами Госкомитета, уполномоченными на принятие решений о проведении постоянных рейдов являются должностные лица, указанные в пункте 1.4 настоящего Положения.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4.26. Постоянный рейд осуществляется на территории, определяемой должностными лицами Госкомитета, указанными в пункте 1.4 настоящего Положения, исходя из наличия туристских маршрутов, в том числе туристских маршрутов, требующих специального сопровождения, </w:t>
      </w:r>
      <w:r>
        <w:rPr>
          <w:sz w:val="28"/>
          <w:szCs w:val="28"/>
          <w:highlight w:val="white"/>
        </w:rPr>
        <w:t xml:space="preserve">а также объектов показа на территории Республики Татарстан.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4.27. При осуществлении постоянного рейда могут совершаться следующие контрольные (надзорные) действия: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а) осмотр;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б) опрос;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в)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г) инструментальное обследование.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4.28. При осуществлении постоянного рейда время взаимодействия должностного лица Госкомитета, указанного в пункте 1.5 настоящего Положения, с одним контролируемым лицом не может превышать 30 минут (в данный период не включается время оформления акта).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4.29.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постоянн</w:t>
      </w:r>
      <w:r>
        <w:rPr>
          <w:sz w:val="28"/>
          <w:szCs w:val="28"/>
          <w:highlight w:val="white"/>
        </w:rPr>
        <w:t xml:space="preserve">ого рейда.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.30. Составленные в ходе постоянного рейда акты, а также выданные предписания об устранении выявленных нарушений обязательных требований подлежат включению в единый реестр контрольных (надзорных) мероприятий в соответствии со статьей 19 Федерального закона</w:t>
      </w:r>
      <w:r>
        <w:rPr>
          <w:sz w:val="28"/>
          <w:szCs w:val="28"/>
          <w:highlight w:val="white"/>
        </w:rPr>
        <w:t xml:space="preserve"> № 248-ФЗ.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главе 5: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0" w:lineRule="atLeast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пункте 5.7 слова «в соответствии с пунктом 5.6 настоящего Положения» заменить словами «</w:t>
      </w:r>
      <w:r>
        <w:rPr>
          <w:sz w:val="28"/>
          <w:szCs w:val="28"/>
          <w:highlight w:val="none"/>
        </w:rPr>
        <w:t xml:space="preserve">в соответствии с пунктом 5.5</w:t>
      </w:r>
      <w:r>
        <w:rPr>
          <w:sz w:val="28"/>
          <w:szCs w:val="28"/>
          <w:highlight w:val="none"/>
        </w:rPr>
        <w:t xml:space="preserve"> настоящего Положения».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0"/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Премьер-министр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А.В.Песошин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widowControl w:val="off"/>
        <w:tabs>
          <w:tab w:val="left" w:pos="993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567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4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869"/>
    <w:uiPriority w:val="10"/>
    <w:rPr>
      <w:sz w:val="48"/>
      <w:szCs w:val="48"/>
    </w:rPr>
  </w:style>
  <w:style w:type="character" w:styleId="680">
    <w:name w:val="Subtitle Char"/>
    <w:basedOn w:val="698"/>
    <w:link w:val="870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Header Char"/>
    <w:basedOn w:val="698"/>
    <w:link w:val="718"/>
    <w:uiPriority w:val="99"/>
  </w:style>
  <w:style w:type="character" w:styleId="684">
    <w:name w:val="Footer Char"/>
    <w:basedOn w:val="698"/>
    <w:link w:val="720"/>
    <w:uiPriority w:val="99"/>
  </w:style>
  <w:style w:type="character" w:styleId="685">
    <w:name w:val="Caption Char"/>
    <w:basedOn w:val="698"/>
    <w:link w:val="722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1"/>
    <w:uiPriority w:val="99"/>
    <w:rPr>
      <w:sz w:val="18"/>
    </w:rPr>
  </w:style>
  <w:style w:type="character" w:styleId="687">
    <w:name w:val="Endnote Text Char"/>
    <w:link w:val="854"/>
    <w:uiPriority w:val="99"/>
    <w:rPr>
      <w:sz w:val="20"/>
    </w:rPr>
  </w:style>
  <w:style w:type="paragraph" w:styleId="688" w:default="1">
    <w:name w:val="Normal"/>
  </w:style>
  <w:style w:type="paragraph" w:styleId="689">
    <w:name w:val="Heading 1"/>
    <w:basedOn w:val="688"/>
    <w:next w:val="688"/>
    <w:link w:val="701"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690">
    <w:name w:val="Heading 2"/>
    <w:basedOn w:val="688"/>
    <w:next w:val="688"/>
    <w:link w:val="702"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691">
    <w:name w:val="Heading 3"/>
    <w:basedOn w:val="688"/>
    <w:next w:val="688"/>
    <w:link w:val="703"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692">
    <w:name w:val="Heading 4"/>
    <w:basedOn w:val="688"/>
    <w:next w:val="688"/>
    <w:link w:val="704"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693">
    <w:name w:val="Heading 5"/>
    <w:basedOn w:val="688"/>
    <w:next w:val="688"/>
    <w:link w:val="705"/>
    <w:pPr>
      <w:keepLines/>
      <w:keepNext/>
      <w:spacing w:before="220" w:after="40"/>
      <w:outlineLvl w:val="4"/>
    </w:pPr>
    <w:rPr>
      <w:b/>
      <w:bCs/>
      <w:sz w:val="22"/>
      <w:szCs w:val="22"/>
    </w:rPr>
  </w:style>
  <w:style w:type="paragraph" w:styleId="694">
    <w:name w:val="Heading 6"/>
    <w:basedOn w:val="688"/>
    <w:next w:val="688"/>
    <w:link w:val="706"/>
    <w:pPr>
      <w:keepLines/>
      <w:keepNext/>
      <w:spacing w:before="200" w:after="40"/>
      <w:outlineLvl w:val="5"/>
    </w:pPr>
    <w:rPr>
      <w:b/>
      <w:bCs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character" w:styleId="712" w:customStyle="1">
    <w:name w:val="Название Знак"/>
    <w:link w:val="869"/>
    <w:uiPriority w:val="10"/>
    <w:rPr>
      <w:sz w:val="48"/>
      <w:szCs w:val="48"/>
    </w:rPr>
  </w:style>
  <w:style w:type="character" w:styleId="713" w:customStyle="1">
    <w:name w:val="Подзаголовок Знак"/>
    <w:link w:val="870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8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link w:val="718"/>
    <w:uiPriority w:val="99"/>
  </w:style>
  <w:style w:type="paragraph" w:styleId="720">
    <w:name w:val="Footer"/>
    <w:basedOn w:val="688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Нижний колонтитул Знак"/>
    <w:link w:val="720"/>
    <w:uiPriority w:val="99"/>
  </w:style>
  <w:style w:type="paragraph" w:styleId="722">
    <w:name w:val="Caption"/>
    <w:basedOn w:val="688"/>
    <w:next w:val="68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азвание объекта Знак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basedOn w:val="6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88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88"/>
    <w:link w:val="855"/>
    <w:uiPriority w:val="99"/>
    <w:semiHidden/>
    <w:unhideWhenUsed/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88"/>
    <w:next w:val="688"/>
    <w:uiPriority w:val="39"/>
    <w:unhideWhenUsed/>
    <w:pPr>
      <w:spacing w:after="57"/>
    </w:pPr>
  </w:style>
  <w:style w:type="paragraph" w:styleId="858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9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0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1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2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3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4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5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8"/>
    <w:next w:val="688"/>
    <w:uiPriority w:val="99"/>
    <w:unhideWhenUsed/>
  </w:style>
  <w:style w:type="table" w:styleId="868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9">
    <w:name w:val="Title"/>
    <w:basedOn w:val="688"/>
    <w:next w:val="688"/>
    <w:link w:val="712"/>
    <w:pPr>
      <w:keepLines/>
      <w:keepNext/>
      <w:spacing w:before="480" w:after="120"/>
    </w:pPr>
    <w:rPr>
      <w:b/>
      <w:bCs/>
      <w:sz w:val="72"/>
      <w:szCs w:val="72"/>
    </w:rPr>
  </w:style>
  <w:style w:type="paragraph" w:styleId="870">
    <w:name w:val="Subtitle"/>
    <w:basedOn w:val="688"/>
    <w:next w:val="688"/>
    <w:link w:val="713"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lifanova</cp:lastModifiedBy>
  <cp:revision>9</cp:revision>
  <dcterms:created xsi:type="dcterms:W3CDTF">2026-02-26T15:00:00Z</dcterms:created>
  <dcterms:modified xsi:type="dcterms:W3CDTF">2026-03-05T07:45:23Z</dcterms:modified>
</cp:coreProperties>
</file>