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56"/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«___» _______ 20</w:t>
      </w:r>
      <w:r>
        <w:rPr>
          <w:rFonts w:ascii="Times New Roman" w:hAnsi="Times New Roman"/>
          <w:sz w:val="28"/>
          <w:szCs w:val="28"/>
        </w:rPr>
        <w:t xml:space="preserve">26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</w:rPr>
        <w:t xml:space="preserve">№ 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tabs>
          <w:tab w:val="left" w:leader="none" w:pos="851"/>
          <w:tab w:val="left" w:leader="none" w:pos="2127"/>
          <w:tab w:val="left" w:leader="none" w:pos="3544"/>
          <w:tab w:val="left" w:leader="none" w:pos="3686"/>
          <w:tab w:val="left" w:leader="none" w:pos="4394"/>
          <w:tab w:val="left" w:leader="none" w:pos="4535"/>
          <w:tab w:val="left" w:leader="none" w:pos="5103"/>
        </w:tabs>
        <w:spacing w:after="0" w:line="240" w:lineRule="auto"/>
        <w:ind w:right="5670" w:firstLine="0" w:left="0"/>
        <w:jc w:val="both"/>
        <w:rPr>
          <w:rFonts w:ascii="Times New Roman" w:hAnsi="Times New Roman"/>
          <w:sz w:val="28"/>
          <w:szCs w:val="28"/>
          <w:highlight w:val="cyan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внесении изменени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й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в </w:t>
      </w:r>
      <w:bookmarkStart w:id="1" w:name="_Hlk18594701"/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п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римерный перечень государственных услуг и работ, оказываемых и выполняемых государственными учрежден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иям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и и фин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ансируемых за счет средств бюджета Республики Татарстан, в разрезе видов учреждений и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отдельных государственных учреждений Республики Татарстан, утвержденный постановлением Кабинета Министров Республики Татарстан от 29.09.2015 </w:t>
        <w:br/>
        <w:t xml:space="preserve">№ 726</w:t>
      </w:r>
      <w:r>
        <w:rPr>
          <w:rFonts w:ascii="Times New Roman" w:hAnsi="Times New Roman"/>
          <w:sz w:val="28"/>
          <w:szCs w:val="28"/>
          <w:highlight w:val="cyan"/>
        </w:rPr>
      </w:r>
      <w:r>
        <w:rPr>
          <w:rFonts w:ascii="Times New Roman" w:hAnsi="Times New Roman"/>
          <w:sz w:val="28"/>
          <w:szCs w:val="28"/>
          <w:highlight w:val="cyan"/>
        </w:rPr>
      </w:r>
    </w:p>
    <w:p>
      <w:pPr>
        <w:pStyle w:val="95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/>
      <w:bookmarkEnd w:id="1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 w14:paraId="2077422F">
      <w:pPr>
        <w:pStyle w:val="9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римерн</w:t>
      </w:r>
      <w:r>
        <w:rPr>
          <w:rFonts w:ascii="Times New Roman" w:hAnsi="Times New Roman"/>
          <w:sz w:val="28"/>
          <w:szCs w:val="28"/>
        </w:rPr>
        <w:t xml:space="preserve">ый</w:t>
      </w:r>
      <w:r>
        <w:rPr>
          <w:rFonts w:ascii="Times New Roman" w:hAnsi="Times New Roman"/>
          <w:sz w:val="28"/>
          <w:szCs w:val="28"/>
        </w:rPr>
        <w:t xml:space="preserve"> переч</w:t>
      </w:r>
      <w:r>
        <w:rPr>
          <w:rFonts w:ascii="Times New Roman" w:hAnsi="Times New Roman"/>
          <w:sz w:val="28"/>
          <w:szCs w:val="28"/>
        </w:rPr>
        <w:t xml:space="preserve">ень</w:t>
      </w:r>
      <w:r>
        <w:rPr>
          <w:rFonts w:ascii="Times New Roman" w:hAnsi="Times New Roman"/>
          <w:sz w:val="28"/>
          <w:szCs w:val="28"/>
        </w:rPr>
        <w:t xml:space="preserve"> государственных услуг и работ, оказываемых и выполняемых государственными учреждениями и финансируемых за счет средств бюджета Республики Татарстан, в разрезе видов учреждений и отдельных государственных учреждений Республики Татарстан, утвержденн</w:t>
      </w:r>
      <w:r>
        <w:rPr>
          <w:rFonts w:ascii="Times New Roman" w:hAnsi="Times New Roman"/>
          <w:sz w:val="28"/>
          <w:szCs w:val="28"/>
        </w:rPr>
        <w:t xml:space="preserve">ый</w:t>
      </w:r>
      <w:r>
        <w:rPr>
          <w:rFonts w:ascii="Times New Roman" w:hAnsi="Times New Roman"/>
          <w:sz w:val="28"/>
          <w:szCs w:val="28"/>
        </w:rPr>
        <w:t xml:space="preserve"> постановлением Кабинета Министров Республики Татарстан от 29.09.2015 № 726 «Об утверждении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римерного перечня государственных услуг и работ, оказываемых и выполняемых государственными учреждениями и финансируемых за счет средств бюджета Республики Татарстан, в разрезе видов учреждений и отдельных государственных учреждений Республики Татарстан»</w:t>
      </w:r>
      <w:r>
        <w:rPr>
          <w:rFonts w:ascii="Times New Roman" w:hAnsi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25.12.2015 № 974, от 14.01.2016 № 12, от 02.11.2016 № 807, от 31.12.2016 № 1094, от 27.06.2017 № 441, от 27.11.2017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914, от 27.12.2017 № 1062, от 26.04.2018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296, от 26.11.2018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1053, от 13.12.2018</w:t>
        <w:br/>
        <w:t xml:space="preserve">№ 1128,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от 28.08.2019 № 732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07.</w:t>
      </w:r>
      <w:r>
        <w:rPr>
          <w:rFonts w:ascii="Times New Roman" w:hAnsi="Times New Roman"/>
          <w:sz w:val="28"/>
          <w:szCs w:val="28"/>
        </w:rPr>
        <w:t xml:space="preserve">10</w:t>
      </w:r>
      <w:r>
        <w:rPr>
          <w:rFonts w:ascii="Times New Roman" w:hAnsi="Times New Roman"/>
          <w:sz w:val="28"/>
          <w:szCs w:val="28"/>
        </w:rPr>
        <w:t xml:space="preserve">.2019 № 892</w:t>
      </w:r>
      <w:r>
        <w:rPr>
          <w:rFonts w:ascii="Times New Roman" w:hAnsi="Times New Roman"/>
          <w:sz w:val="28"/>
          <w:szCs w:val="28"/>
        </w:rPr>
        <w:t xml:space="preserve">,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от 30.12.2019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1248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15.05.2020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391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18.08.2020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704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25.09.2020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873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25.12.2020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1190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от 27.01.2021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26,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01.02.2021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45, от 21.07.2021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627, от 13.08.2021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719,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15.11.2021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1075, от 27.12.2021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1294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23.03.2022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260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10.05.2022</w:t>
        <w:br/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426, от 16.05.2022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449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03.08.2022 № 755</w:t>
      </w:r>
      <w:r>
        <w:rPr>
          <w:rFonts w:ascii="Times New Roman" w:hAnsi="Times New Roman"/>
          <w:sz w:val="28"/>
          <w:szCs w:val="28"/>
        </w:rPr>
        <w:t xml:space="preserve">, от </w:t>
      </w:r>
      <w:r>
        <w:rPr>
          <w:rFonts w:ascii="Times New Roman" w:hAnsi="Times New Roman"/>
          <w:sz w:val="28"/>
          <w:szCs w:val="28"/>
        </w:rPr>
        <w:t xml:space="preserve">18.11.2022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1233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27.01.2023 № 57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11.02.2023 № 140</w:t>
      </w:r>
      <w:r>
        <w:rPr>
          <w:rFonts w:ascii="Times New Roman" w:hAnsi="Times New Roman"/>
          <w:sz w:val="28"/>
          <w:szCs w:val="28"/>
        </w:rPr>
        <w:t xml:space="preserve">,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от 25.03.2023 № 351, от 18.04.2023 № 489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03.07.2023 № 773</w:t>
      </w:r>
      <w:r>
        <w:rPr>
          <w:rFonts w:ascii="Times New Roman" w:hAnsi="Times New Roman"/>
          <w:sz w:val="28"/>
          <w:szCs w:val="28"/>
        </w:rPr>
        <w:t xml:space="preserve">, от 24.08.2023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1010, от 23.10.2023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1337</w:t>
      </w:r>
      <w:r>
        <w:rPr>
          <w:rFonts w:ascii="Times New Roman" w:hAnsi="Times New Roman"/>
          <w:sz w:val="28"/>
          <w:szCs w:val="28"/>
        </w:rPr>
        <w:t xml:space="preserve">,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от 15.12.2023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№</w:t>
      </w:r>
      <w:r>
        <w:rPr>
          <w:rFonts w:ascii="Times New Roman" w:hAnsi="Times New Roman"/>
          <w:sz w:val="28"/>
          <w:szCs w:val="28"/>
        </w:rPr>
        <w:t xml:space="preserve"> 1628, от 29.01.2024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38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от 07.03.2024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128,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01.04.2024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211, от 25.04.2024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275, от 07.05.2024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309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19.07.2024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581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23.10.2024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917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от 30.12.2024 № 1267</w:t>
      </w:r>
      <w:r>
        <w:rPr>
          <w:rFonts w:ascii="Times New Roman" w:hAnsi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от 26.05.2025 № 359, </w:t>
      </w:r>
      <w:r>
        <w:rPr>
          <w:rFonts w:ascii="Times New Roman" w:hAnsi="Times New Roman"/>
          <w:sz w:val="28"/>
          <w:szCs w:val="28"/>
          <w:highlight w:val="none"/>
        </w:rPr>
        <w:t xml:space="preserve">от 17.07.2025 № 523, от 25.12.2025 № 1148,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от 30.12.2025 № 1220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следующие </w:t>
      </w:r>
      <w:r>
        <w:rPr>
          <w:rFonts w:ascii="Times New Roman" w:hAnsi="Times New Roman"/>
          <w:sz w:val="28"/>
          <w:szCs w:val="28"/>
        </w:rPr>
        <w:t xml:space="preserve">изменени</w:t>
      </w:r>
      <w:r>
        <w:rPr>
          <w:rFonts w:ascii="Times New Roman" w:hAnsi="Times New Roman"/>
          <w:sz w:val="28"/>
          <w:szCs w:val="28"/>
        </w:rPr>
        <w:t xml:space="preserve">я:</w:t>
      </w:r>
      <w:r>
        <w:rPr>
          <w:rFonts w:ascii="Times New Roman" w:hAnsi="Times New Roman"/>
          <w:sz w:val="28"/>
          <w:szCs w:val="28"/>
          <w:highlight w:val="none"/>
        </w:rPr>
      </w:r>
    </w:p>
    <w:p w14:paraId="5FFBE276">
      <w:pPr>
        <w:pStyle w:val="9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в графе 2 пункта 5.7 слова «</w:t>
      </w:r>
      <w:r>
        <w:rPr>
          <w:rFonts w:ascii="Times New Roman" w:hAnsi="Times New Roman"/>
          <w:sz w:val="28"/>
          <w:szCs w:val="28"/>
        </w:rPr>
        <w:t xml:space="preserve">920000Р.16.1.КК15АА27000</w:t>
      </w:r>
      <w:r>
        <w:rPr>
          <w:rFonts w:ascii="Times New Roman" w:hAnsi="Times New Roman"/>
          <w:sz w:val="28"/>
          <w:szCs w:val="28"/>
        </w:rPr>
        <w:t xml:space="preserve">» заменить словами «</w:t>
      </w:r>
      <w:r>
        <w:rPr>
          <w:rFonts w:ascii="Times New Roman" w:hAnsi="Times New Roman"/>
          <w:sz w:val="28"/>
          <w:szCs w:val="28"/>
        </w:rPr>
        <w:t xml:space="preserve">920000Р.16.1.КК17АА29000</w:t>
      </w:r>
      <w:r>
        <w:rPr>
          <w:rFonts w:ascii="Times New Roman" w:hAnsi="Times New Roman"/>
          <w:sz w:val="28"/>
          <w:szCs w:val="28"/>
        </w:rPr>
        <w:t xml:space="preserve">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 w14:paraId="451056DB">
      <w:pPr>
        <w:pStyle w:val="9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пункт 5.9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дополнить</w:t>
      </w:r>
      <w:r>
        <w:rPr>
          <w:rFonts w:ascii="Times New Roman" w:hAnsi="Times New Roman"/>
          <w:sz w:val="28"/>
          <w:szCs w:val="28"/>
          <w:highlight w:val="none"/>
        </w:rPr>
        <w:t xml:space="preserve"> строкой следующего содержания:</w:t>
      </w:r>
      <w:r/>
      <w:r/>
    </w:p>
    <w:p w14:paraId="54659F10">
      <w:pPr>
        <w:pStyle w:val="956"/>
        <w:pBdr/>
        <w:spacing w:after="0" w:line="240" w:lineRule="auto"/>
        <w:ind w:firstLine="709"/>
        <w:jc w:val="both"/>
        <w:rPr/>
      </w:pPr>
      <w:r/>
      <w:r/>
      <w:r/>
    </w:p>
    <w:tbl>
      <w:tblPr>
        <w:tblStyle w:val="769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701"/>
        <w:gridCol w:w="992"/>
        <w:gridCol w:w="2409"/>
        <w:gridCol w:w="425"/>
        <w:gridCol w:w="425"/>
        <w:gridCol w:w="425"/>
        <w:gridCol w:w="425"/>
        <w:gridCol w:w="1417"/>
        <w:gridCol w:w="1567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top"/>
            <w:textDirection w:val="lrTb"/>
            <w:noWrap w:val="false"/>
          </w:tcPr>
          <w:p w14:paraId="419813A1"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 w14:paraId="285B8C6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920000Р.16.1.КК17АА29000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3ACBDEB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работа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 w14:paraId="3071BD4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осуществление реставрации и консервации музейных предметов, музейных коллекций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 w14:paraId="37C3802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 w14:paraId="7A709E2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 w14:paraId="5BF2C14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 w14:paraId="08A5DE6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 w14:paraId="3191BDD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культура, кинематография, туризм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67" w:type="dxa"/>
            <w:vAlign w:val="top"/>
            <w:textDirection w:val="lrTb"/>
            <w:noWrap w:val="false"/>
          </w:tcPr>
          <w:p w14:paraId="5638404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выбор из РПУР»;</w:t>
            </w:r>
            <w:r>
              <w:rPr>
                <w:sz w:val="24"/>
                <w:szCs w:val="24"/>
              </w:rPr>
            </w:r>
          </w:p>
        </w:tc>
      </w:tr>
    </w:tbl>
    <w:p w14:paraId="716335D2">
      <w:pPr>
        <w:pStyle w:val="956"/>
        <w:pBdr/>
        <w:spacing w:after="0" w:line="240" w:lineRule="auto"/>
        <w:ind w:firstLine="709"/>
        <w:jc w:val="both"/>
        <w:rPr/>
      </w:pPr>
      <w:r/>
      <w:r/>
      <w:r/>
    </w:p>
    <w:p w14:paraId="0756CB40">
      <w:pPr>
        <w:pStyle w:val="9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в графе 2 пункта 5.29 слова «</w:t>
      </w:r>
      <w:r>
        <w:rPr>
          <w:rFonts w:ascii="Times New Roman" w:hAnsi="Times New Roman"/>
          <w:sz w:val="28"/>
          <w:szCs w:val="28"/>
        </w:rPr>
        <w:t xml:space="preserve">920000Р.16.1.КК15АА27000»</w:t>
      </w:r>
      <w:r>
        <w:rPr>
          <w:rFonts w:ascii="Times New Roman" w:hAnsi="Times New Roman"/>
          <w:sz w:val="28"/>
          <w:szCs w:val="28"/>
        </w:rPr>
        <w:t xml:space="preserve"> заменить словами «</w:t>
      </w:r>
      <w:r>
        <w:rPr>
          <w:rFonts w:ascii="Times New Roman" w:hAnsi="Times New Roman"/>
          <w:sz w:val="28"/>
          <w:szCs w:val="28"/>
        </w:rPr>
        <w:t xml:space="preserve">920000Р.16.1.КК17АА29000</w:t>
      </w:r>
      <w:r>
        <w:rPr>
          <w:rFonts w:ascii="Times New Roman" w:hAnsi="Times New Roman"/>
          <w:sz w:val="28"/>
          <w:szCs w:val="28"/>
        </w:rPr>
        <w:t xml:space="preserve">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Премьер-министр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  <w:sectPr>
          <w:headerReference w:type="default" r:id="rId9"/>
          <w:headerReference w:type="first" r:id="rId10"/>
          <w:footnotePr/>
          <w:endnotePr/>
          <w:type w:val="nextPage"/>
          <w:pgSz w:h="16838" w:orient="portrait" w:w="11906"/>
          <w:pgMar w:top="1134" w:right="567" w:bottom="1134" w:left="1134" w:header="709" w:footer="130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А.В Песошин</w:t>
      </w:r>
      <w:r>
        <w:rPr>
          <w:rFonts w:ascii="Times New Roman" w:hAnsi="Times New Roman"/>
          <w:sz w:val="28"/>
          <w:szCs w:val="28"/>
        </w:rPr>
        <w:tab/>
        <w:tab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30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ПОЯСНИТЕЛЬНАЯ ЗАПИСКА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6"/>
        <w:pBdr/>
        <w:spacing w:after="0" w:line="30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6"/>
        <w:pBdr/>
        <w:spacing w:after="0" w:line="300" w:lineRule="auto"/>
        <w:ind/>
        <w:contextualSpacing w:val="tru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 внесении изменени</w:t>
      </w:r>
      <w:r>
        <w:rPr>
          <w:rFonts w:ascii="Times New Roman" w:hAnsi="Times New Roman"/>
          <w:b/>
          <w:sz w:val="28"/>
          <w:szCs w:val="28"/>
        </w:rPr>
        <w:t xml:space="preserve">й</w:t>
      </w:r>
      <w:r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 xml:space="preserve">п</w:t>
      </w:r>
      <w:r>
        <w:rPr>
          <w:rFonts w:ascii="Times New Roman" w:hAnsi="Times New Roman"/>
          <w:b/>
          <w:sz w:val="28"/>
          <w:szCs w:val="28"/>
        </w:rPr>
        <w:t xml:space="preserve">римерный перечень государственных услуг и работ, оказываемых и выполняемых государственными учреждениям</w:t>
      </w:r>
      <w:r>
        <w:rPr>
          <w:rFonts w:ascii="Times New Roman" w:hAnsi="Times New Roman"/>
          <w:b/>
          <w:sz w:val="28"/>
          <w:szCs w:val="28"/>
        </w:rPr>
        <w:t xml:space="preserve">и и финансируемых за счет средств бюджета Республики Татарстан, в разрезе видов учреждений и отдельных государственных учреждений Республики Татарстан, утвержденный постановлением Кабинета Министров Республики Татарстан от 29.09.2015 № 726</w:t>
      </w:r>
      <w:r>
        <w:rPr>
          <w:rFonts w:ascii="Times New Roman" w:hAnsi="Times New Roman"/>
          <w:b/>
          <w:sz w:val="28"/>
          <w:szCs w:val="28"/>
        </w:rPr>
        <w:t xml:space="preserve">»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6"/>
        <w:pBdr/>
        <w:spacing w:after="0" w:line="300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 w14:paraId="127CBFBE">
      <w:pPr>
        <w:pStyle w:val="956"/>
        <w:pBdr/>
        <w:spacing w:after="0" w:line="30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 постановления Кабинета Министров Республики Татарстан «О внесении изменений</w:t>
      </w:r>
      <w:r>
        <w:rPr>
          <w:rFonts w:ascii="Times New Roman" w:hAnsi="Times New Roman"/>
          <w:sz w:val="28"/>
          <w:szCs w:val="28"/>
          <w:highlight w:val="none"/>
        </w:rPr>
        <w:t xml:space="preserve"> в </w:t>
      </w:r>
      <w:r>
        <w:rPr>
          <w:rFonts w:ascii="Times New Roman" w:hAnsi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/>
          <w:sz w:val="28"/>
          <w:szCs w:val="28"/>
          <w:highlight w:val="none"/>
        </w:rPr>
        <w:t xml:space="preserve">римерный перечень государственных услуг и работ, оказываемых и выполняемых государственными учреждениям</w:t>
      </w:r>
      <w:r>
        <w:rPr>
          <w:rFonts w:ascii="Times New Roman" w:hAnsi="Times New Roman"/>
          <w:sz w:val="28"/>
          <w:szCs w:val="28"/>
          <w:highlight w:val="none"/>
        </w:rPr>
        <w:t xml:space="preserve">и и финансируемых за счет средств бюджета Республики Татарстан, в разрезе видов учреждений и отдельных государственных учреждений Республики Татарстан, утвержденный постановлением Кабинета Министров Республики Татарстан от 29.09.2015 № 726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(далее – Примерный перечень)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разработан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государственным бюджетным учреждением «Центр экономических и социальных исследований Республики Татарстан при Кабинете Министров Республики Татарстан»</w:t>
      </w:r>
      <w:r>
        <w:rPr>
          <w:rFonts w:ascii="Times New Roman" w:hAnsi="Times New Roman"/>
          <w:sz w:val="28"/>
          <w:szCs w:val="28"/>
          <w:highlight w:val="none"/>
        </w:rPr>
        <w:t xml:space="preserve"> в соответствии с обращением Министерства культуры Республики Татарстан» от 10.02.2026 № 960-03 по вопросу внесения изменений в постановление Кабинета Министров Республики Татарстан от 29.09.2015 №726 по вопросу изменения государственного задани</w:t>
      </w:r>
      <w:r>
        <w:rPr>
          <w:rFonts w:ascii="Times New Roman" w:hAnsi="Times New Roman"/>
          <w:sz w:val="28"/>
          <w:szCs w:val="28"/>
          <w:highlight w:val="none"/>
        </w:rPr>
        <w:t xml:space="preserve">я государственного бюджетного учреждения культуры Республики Татарстан «Государственный историко-архитектурный и художественный музей-заповедник «Остров-град Свияжск» на 2026 год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/>
    </w:p>
    <w:p w14:paraId="7E16021E">
      <w:pPr>
        <w:pStyle w:val="956"/>
        <w:pBdr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Проектом постановления Кабинета Министров Республики Татарстан вносятся изменения </w:t>
      </w:r>
      <w:r>
        <w:rPr>
          <w:rFonts w:ascii="Times New Roman" w:hAnsi="Times New Roman"/>
          <w:sz w:val="28"/>
          <w:szCs w:val="28"/>
          <w:highlight w:val="none"/>
        </w:rPr>
        <w:t xml:space="preserve">в части дополнения пункта 5.9 Примерного перечня новой государственной</w:t>
      </w:r>
      <w:r>
        <w:rPr>
          <w:rFonts w:ascii="Times New Roman" w:hAnsi="Times New Roman"/>
          <w:sz w:val="28"/>
          <w:szCs w:val="28"/>
          <w:highlight w:val="none"/>
        </w:rPr>
        <w:t xml:space="preserve"> работой «Осуществление реставрации и консервации музейных предметов, музейных коллекций»</w:t>
      </w:r>
      <w:r>
        <w:rPr>
          <w:rFonts w:ascii="Times New Roman" w:hAnsi="Times New Roman"/>
          <w:sz w:val="28"/>
          <w:szCs w:val="28"/>
          <w:highlight w:val="none"/>
        </w:rPr>
        <w:t xml:space="preserve"> и корректировки </w:t>
      </w:r>
      <w:r>
        <w:rPr>
          <w:rFonts w:ascii="Times New Roman" w:hAnsi="Times New Roman"/>
          <w:sz w:val="28"/>
          <w:szCs w:val="28"/>
          <w:highlight w:val="none"/>
        </w:rPr>
        <w:t xml:space="preserve">уникального номера работы</w:t>
      </w:r>
      <w:r>
        <w:rPr>
          <w:rFonts w:ascii="Times New Roman" w:hAnsi="Times New Roman"/>
          <w:sz w:val="28"/>
          <w:szCs w:val="28"/>
          <w:highlight w:val="none"/>
        </w:rPr>
        <w:t xml:space="preserve"> в пунктах 5.7, 5.29.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956"/>
        <w:pBdr/>
        <w:spacing w:after="0" w:line="30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highlight w:val="none"/>
        </w:rPr>
        <w:t xml:space="preserve">Принятие данного проекта постановления не потребует выделения дополнительных средств из бюджета Республики Татарстан.</w:t>
      </w:r>
      <w:r/>
    </w:p>
    <w:p>
      <w:pPr>
        <w:pStyle w:val="956"/>
        <w:pBdr/>
        <w:spacing w:after="0" w:line="30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highlight w:val="none"/>
        </w:rPr>
        <w:t xml:space="preserve">Отсутствует необходимость в проведении оценки регулирующего воздействия проекта постановления Кабинета Министров Республики Татарстан.</w:t>
      </w:r>
      <w:r/>
    </w:p>
    <w:p>
      <w:pPr>
        <w:pStyle w:val="956"/>
        <w:pBdr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567" w:bottom="1134" w:left="1418" w:header="709" w:footer="13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/>
    <w:r/>
  </w:p>
  <w:p>
    <w:pPr>
      <w:pStyle w:val="963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4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0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5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8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60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432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468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540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1">
    <w:lvl w:ilvl="0">
      <w:isLgl w:val="false"/>
      <w:lvlJc w:val="left"/>
      <w:lvlText w:val="%1"/>
      <w:numFmt w:val="decimal"/>
      <w:pPr>
        <w:pBdr/>
        <w:spacing/>
        <w:ind w:hanging="360" w:left="1211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16"/>
  </w:num>
  <w:num w:numId="9">
    <w:abstractNumId w:val="11"/>
  </w:num>
  <w:num w:numId="10">
    <w:abstractNumId w:val="12"/>
  </w:num>
  <w:num w:numId="11">
    <w:abstractNumId w:val="17"/>
  </w:num>
  <w:num w:numId="12">
    <w:abstractNumId w:val="2"/>
  </w:num>
  <w:num w:numId="13">
    <w:abstractNumId w:val="0"/>
  </w:num>
  <w:num w:numId="14">
    <w:abstractNumId w:val="18"/>
  </w:num>
  <w:num w:numId="15">
    <w:abstractNumId w:val="8"/>
  </w:num>
  <w:num w:numId="16">
    <w:abstractNumId w:val="1"/>
  </w:num>
  <w:num w:numId="17">
    <w:abstractNumId w:val="15"/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7">
    <w:name w:val="Placeholder Text"/>
    <w:basedOn w:val="904"/>
    <w:uiPriority w:val="99"/>
    <w:semiHidden/>
    <w:pPr>
      <w:pBdr/>
      <w:spacing/>
      <w:ind/>
    </w:pPr>
    <w:rPr>
      <w:color w:val="666666"/>
    </w:rPr>
  </w:style>
  <w:style w:type="table" w:styleId="76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Table Grid"/>
    <w:basedOn w:val="7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Table Grid Light"/>
    <w:basedOn w:val="7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1"/>
    <w:basedOn w:val="7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2"/>
    <w:basedOn w:val="7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1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2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3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4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5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6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1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2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3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4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5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6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1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2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3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4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5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6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5">
    <w:name w:val="Heading 1"/>
    <w:basedOn w:val="956"/>
    <w:next w:val="956"/>
    <w:link w:val="90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96">
    <w:name w:val="Heading 2"/>
    <w:basedOn w:val="956"/>
    <w:next w:val="956"/>
    <w:link w:val="90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7">
    <w:name w:val="Heading 3"/>
    <w:basedOn w:val="956"/>
    <w:next w:val="956"/>
    <w:link w:val="90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98">
    <w:name w:val="Heading 4"/>
    <w:basedOn w:val="956"/>
    <w:next w:val="956"/>
    <w:link w:val="90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9">
    <w:name w:val="Heading 5"/>
    <w:basedOn w:val="956"/>
    <w:next w:val="956"/>
    <w:link w:val="91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0">
    <w:name w:val="Heading 6"/>
    <w:basedOn w:val="956"/>
    <w:next w:val="956"/>
    <w:link w:val="91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1">
    <w:name w:val="Heading 7"/>
    <w:basedOn w:val="956"/>
    <w:next w:val="956"/>
    <w:link w:val="91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2">
    <w:name w:val="Heading 8"/>
    <w:basedOn w:val="956"/>
    <w:next w:val="956"/>
    <w:link w:val="91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3">
    <w:name w:val="Heading 9"/>
    <w:basedOn w:val="956"/>
    <w:next w:val="956"/>
    <w:link w:val="91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numbering" w:styleId="905" w:default="1">
    <w:name w:val="No List"/>
    <w:uiPriority w:val="99"/>
    <w:semiHidden/>
    <w:unhideWhenUsed/>
    <w:pPr>
      <w:pBdr/>
      <w:spacing/>
      <w:ind/>
    </w:pPr>
  </w:style>
  <w:style w:type="character" w:styleId="906">
    <w:name w:val="Heading 1 Char"/>
    <w:basedOn w:val="904"/>
    <w:link w:val="8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7">
    <w:name w:val="Heading 2 Char"/>
    <w:basedOn w:val="904"/>
    <w:link w:val="8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8">
    <w:name w:val="Heading 3 Char"/>
    <w:basedOn w:val="904"/>
    <w:link w:val="8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9">
    <w:name w:val="Heading 4 Char"/>
    <w:basedOn w:val="904"/>
    <w:link w:val="89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0">
    <w:name w:val="Heading 5 Char"/>
    <w:basedOn w:val="904"/>
    <w:link w:val="8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1">
    <w:name w:val="Heading 6 Char"/>
    <w:basedOn w:val="904"/>
    <w:link w:val="90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2">
    <w:name w:val="Heading 7 Char"/>
    <w:basedOn w:val="904"/>
    <w:link w:val="90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3">
    <w:name w:val="Heading 8 Char"/>
    <w:basedOn w:val="904"/>
    <w:link w:val="90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4">
    <w:name w:val="Heading 9 Char"/>
    <w:basedOn w:val="904"/>
    <w:link w:val="9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5">
    <w:name w:val="Title"/>
    <w:basedOn w:val="956"/>
    <w:next w:val="956"/>
    <w:link w:val="91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6">
    <w:name w:val="Title Char"/>
    <w:basedOn w:val="904"/>
    <w:link w:val="91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7">
    <w:name w:val="Subtitle"/>
    <w:basedOn w:val="956"/>
    <w:next w:val="956"/>
    <w:link w:val="91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8">
    <w:name w:val="Subtitle Char"/>
    <w:basedOn w:val="904"/>
    <w:link w:val="91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9">
    <w:name w:val="Quote"/>
    <w:basedOn w:val="956"/>
    <w:next w:val="956"/>
    <w:link w:val="92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0">
    <w:name w:val="Quote Char"/>
    <w:basedOn w:val="904"/>
    <w:link w:val="91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1">
    <w:name w:val="List Paragraph"/>
    <w:basedOn w:val="956"/>
    <w:uiPriority w:val="34"/>
    <w:qFormat/>
    <w:pPr>
      <w:pBdr/>
      <w:spacing/>
      <w:ind w:left="720"/>
      <w:contextualSpacing w:val="true"/>
    </w:pPr>
  </w:style>
  <w:style w:type="character" w:styleId="922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3">
    <w:name w:val="Intense Quote"/>
    <w:basedOn w:val="956"/>
    <w:next w:val="956"/>
    <w:link w:val="92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4">
    <w:name w:val="Intense Quote Char"/>
    <w:basedOn w:val="904"/>
    <w:link w:val="92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5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6">
    <w:name w:val="No Spacing"/>
    <w:basedOn w:val="956"/>
    <w:uiPriority w:val="1"/>
    <w:qFormat/>
    <w:pPr>
      <w:pBdr/>
      <w:spacing w:after="0" w:line="240" w:lineRule="auto"/>
      <w:ind/>
    </w:pPr>
  </w:style>
  <w:style w:type="character" w:styleId="927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8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929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930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1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2">
    <w:name w:val="Header"/>
    <w:basedOn w:val="956"/>
    <w:link w:val="93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3">
    <w:name w:val="Header Char"/>
    <w:basedOn w:val="904"/>
    <w:link w:val="932"/>
    <w:uiPriority w:val="99"/>
    <w:pPr>
      <w:pBdr/>
      <w:spacing/>
      <w:ind/>
    </w:pPr>
  </w:style>
  <w:style w:type="paragraph" w:styleId="934">
    <w:name w:val="Footer"/>
    <w:basedOn w:val="956"/>
    <w:link w:val="9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5">
    <w:name w:val="Footer Char"/>
    <w:basedOn w:val="904"/>
    <w:link w:val="934"/>
    <w:uiPriority w:val="99"/>
    <w:pPr>
      <w:pBdr/>
      <w:spacing/>
      <w:ind/>
    </w:pPr>
  </w:style>
  <w:style w:type="paragraph" w:styleId="936">
    <w:name w:val="Caption"/>
    <w:basedOn w:val="956"/>
    <w:next w:val="95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7">
    <w:name w:val="footnote text"/>
    <w:basedOn w:val="956"/>
    <w:link w:val="93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8">
    <w:name w:val="Footnote Text Char"/>
    <w:basedOn w:val="904"/>
    <w:link w:val="937"/>
    <w:uiPriority w:val="99"/>
    <w:semiHidden/>
    <w:pPr>
      <w:pBdr/>
      <w:spacing/>
      <w:ind/>
    </w:pPr>
    <w:rPr>
      <w:sz w:val="20"/>
      <w:szCs w:val="20"/>
    </w:rPr>
  </w:style>
  <w:style w:type="character" w:styleId="939">
    <w:name w:val="foot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940">
    <w:name w:val="endnote text"/>
    <w:basedOn w:val="956"/>
    <w:link w:val="94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1">
    <w:name w:val="Endnote Text Char"/>
    <w:basedOn w:val="904"/>
    <w:link w:val="940"/>
    <w:uiPriority w:val="99"/>
    <w:semiHidden/>
    <w:pPr>
      <w:pBdr/>
      <w:spacing/>
      <w:ind/>
    </w:pPr>
    <w:rPr>
      <w:sz w:val="20"/>
      <w:szCs w:val="20"/>
    </w:rPr>
  </w:style>
  <w:style w:type="character" w:styleId="942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character" w:styleId="943">
    <w:name w:val="Hyperlink"/>
    <w:basedOn w:val="90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5">
    <w:name w:val="toc 1"/>
    <w:basedOn w:val="956"/>
    <w:next w:val="956"/>
    <w:uiPriority w:val="39"/>
    <w:unhideWhenUsed/>
    <w:pPr>
      <w:pBdr/>
      <w:spacing w:after="100"/>
      <w:ind/>
    </w:pPr>
  </w:style>
  <w:style w:type="paragraph" w:styleId="946">
    <w:name w:val="toc 2"/>
    <w:basedOn w:val="956"/>
    <w:next w:val="956"/>
    <w:uiPriority w:val="39"/>
    <w:unhideWhenUsed/>
    <w:pPr>
      <w:pBdr/>
      <w:spacing w:after="100"/>
      <w:ind w:left="220"/>
    </w:pPr>
  </w:style>
  <w:style w:type="paragraph" w:styleId="947">
    <w:name w:val="toc 3"/>
    <w:basedOn w:val="956"/>
    <w:next w:val="956"/>
    <w:uiPriority w:val="39"/>
    <w:unhideWhenUsed/>
    <w:pPr>
      <w:pBdr/>
      <w:spacing w:after="100"/>
      <w:ind w:left="440"/>
    </w:pPr>
  </w:style>
  <w:style w:type="paragraph" w:styleId="948">
    <w:name w:val="toc 4"/>
    <w:basedOn w:val="956"/>
    <w:next w:val="956"/>
    <w:uiPriority w:val="39"/>
    <w:unhideWhenUsed/>
    <w:pPr>
      <w:pBdr/>
      <w:spacing w:after="100"/>
      <w:ind w:left="660"/>
    </w:pPr>
  </w:style>
  <w:style w:type="paragraph" w:styleId="949">
    <w:name w:val="toc 5"/>
    <w:basedOn w:val="956"/>
    <w:next w:val="956"/>
    <w:uiPriority w:val="39"/>
    <w:unhideWhenUsed/>
    <w:pPr>
      <w:pBdr/>
      <w:spacing w:after="100"/>
      <w:ind w:left="880"/>
    </w:pPr>
  </w:style>
  <w:style w:type="paragraph" w:styleId="950">
    <w:name w:val="toc 6"/>
    <w:basedOn w:val="956"/>
    <w:next w:val="956"/>
    <w:uiPriority w:val="39"/>
    <w:unhideWhenUsed/>
    <w:pPr>
      <w:pBdr/>
      <w:spacing w:after="100"/>
      <w:ind w:left="1100"/>
    </w:pPr>
  </w:style>
  <w:style w:type="paragraph" w:styleId="951">
    <w:name w:val="toc 7"/>
    <w:basedOn w:val="956"/>
    <w:next w:val="956"/>
    <w:uiPriority w:val="39"/>
    <w:unhideWhenUsed/>
    <w:pPr>
      <w:pBdr/>
      <w:spacing w:after="100"/>
      <w:ind w:left="1320"/>
    </w:pPr>
  </w:style>
  <w:style w:type="paragraph" w:styleId="952">
    <w:name w:val="toc 8"/>
    <w:basedOn w:val="956"/>
    <w:next w:val="956"/>
    <w:uiPriority w:val="39"/>
    <w:unhideWhenUsed/>
    <w:pPr>
      <w:pBdr/>
      <w:spacing w:after="100"/>
      <w:ind w:left="1540"/>
    </w:pPr>
  </w:style>
  <w:style w:type="paragraph" w:styleId="953">
    <w:name w:val="toc 9"/>
    <w:basedOn w:val="956"/>
    <w:next w:val="956"/>
    <w:uiPriority w:val="39"/>
    <w:unhideWhenUsed/>
    <w:pPr>
      <w:pBdr/>
      <w:spacing w:after="100"/>
      <w:ind w:left="1760"/>
    </w:pPr>
  </w:style>
  <w:style w:type="paragraph" w:styleId="954">
    <w:name w:val="TOC Heading"/>
    <w:uiPriority w:val="39"/>
    <w:unhideWhenUsed/>
    <w:pPr>
      <w:pBdr/>
      <w:spacing/>
      <w:ind/>
    </w:pPr>
  </w:style>
  <w:style w:type="paragraph" w:styleId="955">
    <w:name w:val="table of figures"/>
    <w:basedOn w:val="956"/>
    <w:next w:val="956"/>
    <w:uiPriority w:val="99"/>
    <w:unhideWhenUsed/>
    <w:pPr>
      <w:pBdr/>
      <w:spacing w:after="0" w:afterAutospacing="0"/>
      <w:ind/>
    </w:pPr>
  </w:style>
  <w:style w:type="paragraph" w:styleId="956" w:default="1">
    <w:name w:val="Normal"/>
    <w:next w:val="956"/>
    <w:link w:val="956"/>
    <w:qFormat/>
    <w:pPr>
      <w:pBdr/>
      <w:spacing w:after="200" w:line="276" w:lineRule="auto"/>
      <w:ind/>
    </w:pPr>
    <w:rPr>
      <w:sz w:val="22"/>
      <w:szCs w:val="22"/>
      <w:lang w:val="ru-RU" w:eastAsia="en-US" w:bidi="ar-SA"/>
    </w:rPr>
  </w:style>
  <w:style w:type="character" w:styleId="957">
    <w:name w:val="Основной шрифт абзаца"/>
    <w:next w:val="957"/>
    <w:link w:val="956"/>
    <w:uiPriority w:val="1"/>
    <w:unhideWhenUsed/>
    <w:pPr>
      <w:pBdr/>
      <w:spacing/>
      <w:ind/>
    </w:pPr>
  </w:style>
  <w:style w:type="table" w:styleId="958">
    <w:name w:val="Обычная таблица"/>
    <w:next w:val="958"/>
    <w:link w:val="956"/>
    <w:uiPriority w:val="99"/>
    <w:semiHidden/>
    <w:unhideWhenUsed/>
    <w:qFormat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9">
    <w:name w:val="Нет списка"/>
    <w:next w:val="959"/>
    <w:link w:val="956"/>
    <w:uiPriority w:val="99"/>
    <w:semiHidden/>
    <w:unhideWhenUsed/>
    <w:pPr>
      <w:pBdr/>
      <w:spacing/>
      <w:ind/>
    </w:pPr>
  </w:style>
  <w:style w:type="paragraph" w:styleId="960">
    <w:name w:val="Абзац списка"/>
    <w:basedOn w:val="956"/>
    <w:next w:val="960"/>
    <w:link w:val="956"/>
    <w:uiPriority w:val="34"/>
    <w:qFormat/>
    <w:pPr>
      <w:pBdr/>
      <w:spacing/>
      <w:ind w:left="720"/>
      <w:contextualSpacing w:val="true"/>
    </w:pPr>
  </w:style>
  <w:style w:type="table" w:styleId="961">
    <w:name w:val="Сетка таблицы"/>
    <w:basedOn w:val="958"/>
    <w:next w:val="961"/>
    <w:link w:val="956"/>
    <w:uiPriority w:val="5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2">
    <w:name w:val="ConsPlusNormal"/>
    <w:next w:val="962"/>
    <w:link w:val="956"/>
    <w:pPr>
      <w:widowControl w:val="false"/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963">
    <w:name w:val="Верхний колонтитул"/>
    <w:basedOn w:val="956"/>
    <w:next w:val="963"/>
    <w:link w:val="964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sz w:val="20"/>
      <w:szCs w:val="20"/>
      <w:lang w:val="en-US" w:eastAsia="en-US"/>
    </w:rPr>
  </w:style>
  <w:style w:type="character" w:styleId="964">
    <w:name w:val="Верхний колонтитул Знак"/>
    <w:next w:val="964"/>
    <w:link w:val="963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965">
    <w:name w:val="Нижний колонтитул"/>
    <w:basedOn w:val="956"/>
    <w:next w:val="965"/>
    <w:link w:val="96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66">
    <w:name w:val="Нижний колонтитул Знак"/>
    <w:basedOn w:val="957"/>
    <w:next w:val="966"/>
    <w:link w:val="965"/>
    <w:uiPriority w:val="99"/>
    <w:pPr>
      <w:pBdr/>
      <w:spacing/>
      <w:ind/>
    </w:pPr>
  </w:style>
  <w:style w:type="paragraph" w:styleId="967">
    <w:name w:val="Текст выноски"/>
    <w:basedOn w:val="956"/>
    <w:next w:val="967"/>
    <w:link w:val="968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  <w:lang w:val="en-US" w:eastAsia="en-US"/>
    </w:rPr>
  </w:style>
  <w:style w:type="character" w:styleId="968">
    <w:name w:val="Текст выноски Знак"/>
    <w:next w:val="968"/>
    <w:link w:val="967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69">
    <w:name w:val="ConsPlusCell"/>
    <w:next w:val="969"/>
    <w:link w:val="956"/>
    <w:uiPriority w:val="99"/>
    <w:pPr>
      <w:widowControl w:val="false"/>
      <w:pBdr/>
      <w:spacing/>
      <w:ind/>
    </w:pPr>
    <w:rPr>
      <w:rFonts w:ascii="Arial" w:hAnsi="Arial" w:eastAsia="Times New Roman" w:cs="Arial"/>
      <w:lang w:val="ru-RU" w:eastAsia="ru-RU" w:bidi="ar-SA"/>
    </w:rPr>
  </w:style>
  <w:style w:type="paragraph" w:styleId="970">
    <w:name w:val="ConsPlusNonformat"/>
    <w:next w:val="970"/>
    <w:link w:val="956"/>
    <w:pPr>
      <w:pBdr/>
      <w:spacing/>
      <w:ind/>
    </w:pPr>
    <w:rPr>
      <w:rFonts w:ascii="Courier New" w:hAnsi="Courier New" w:eastAsia="Times New Roman" w:cs="Courier New"/>
      <w:lang w:val="ru-RU" w:eastAsia="ru-RU" w:bidi="ar-SA"/>
    </w:rPr>
  </w:style>
  <w:style w:type="character" w:styleId="971">
    <w:name w:val="Гиперссылка"/>
    <w:next w:val="971"/>
    <w:link w:val="956"/>
    <w:uiPriority w:val="99"/>
    <w:unhideWhenUsed/>
    <w:pPr>
      <w:pBdr/>
      <w:spacing/>
      <w:ind/>
    </w:pPr>
    <w:rPr>
      <w:color w:val="0563c1"/>
      <w:u w:val="single"/>
    </w:rPr>
  </w:style>
  <w:style w:type="table" w:styleId="972">
    <w:name w:val="Сетка таблицы1"/>
    <w:basedOn w:val="958"/>
    <w:next w:val="961"/>
    <w:link w:val="956"/>
    <w:pPr>
      <w:pBdr/>
      <w:spacing/>
      <w:ind/>
    </w:pPr>
    <w:rPr>
      <w:rFonts w:ascii="Times New Roman" w:hAnsi="Times New Roman" w:eastAsia="Times New Roman"/>
    </w:r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3">
    <w:name w:val="Неразрешенное упоминание"/>
    <w:next w:val="973"/>
    <w:link w:val="956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74">
    <w:name w:val="Обычный (веб)"/>
    <w:basedOn w:val="956"/>
    <w:next w:val="974"/>
    <w:link w:val="956"/>
    <w:uiPriority w:val="99"/>
    <w:semiHidden/>
    <w:unhideWhenUsed/>
    <w:pPr>
      <w:pBdr/>
      <w:spacing/>
      <w:ind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103</cp:revision>
  <dcterms:created xsi:type="dcterms:W3CDTF">2023-07-21T08:39:00Z</dcterms:created>
  <dcterms:modified xsi:type="dcterms:W3CDTF">2026-02-12T12:22:30Z</dcterms:modified>
  <cp:version>1048576</cp:version>
</cp:coreProperties>
</file>