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0" w:before="0" w:line="264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both"/>
        <w:rPr/>
      </w:pPr>
      <w:r>
        <w:rPr>
          <w:rFonts w:cs="Times New Roman"/>
          <w:sz w:val="28"/>
        </w:rPr>
        <w:t xml:space="preserve">«___» _______ 2026</w:t>
        <w:tab/>
        <w:tab/>
        <w:tab/>
        <w:tab/>
        <w:tab/>
        <w:tab/>
        <w:tab/>
        <w:tab/>
        <w:tab/>
        <w:t xml:space="preserve">№ ___</w:t>
      </w:r>
      <w:r/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2977"/>
          <w:tab w:val="left" w:leader="none" w:pos="3119"/>
          <w:tab w:val="left" w:leader="none" w:pos="3402"/>
          <w:tab w:val="left" w:leader="none" w:pos="5245"/>
        </w:tabs>
        <w:spacing w:line="240" w:lineRule="auto"/>
        <w:ind w:right="5103" w:firstLine="0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zCs w:val="28"/>
        </w:rPr>
        <w:t xml:space="preserve">Кабинет Министров Республики Татарстан ПОСТАНОВЛЯЕТ</w:t>
      </w:r>
      <w:r>
        <w:rPr>
          <w:spacing w:val="20"/>
          <w:szCs w:val="28"/>
        </w:rPr>
        <w:t xml:space="preserve">:</w:t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szCs w:val="28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в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 </w:t>
      </w:r>
      <w:r>
        <w:rPr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07.03</w:t>
      </w:r>
      <w:r>
        <w:rPr>
          <w:szCs w:val="28"/>
          <w:lang w:eastAsia="ru-RU"/>
        </w:rPr>
        <w:t xml:space="preserve">.2019 №165, от 17.05.2019  № 402, от 13.07.2019 № 572, от 02.11.2019   № 1006, от 18.02.2020 № 123, от 27.04.2020 № 331, от 09.06.2020 № 477, от 24.07.2020 № 622, от 05.09.2020 № 790, от 21.11.2020 № 1042, от 30.12.2020 № 1230, от 14.05.202</w:t>
      </w:r>
      <w:bookmarkStart w:id="0" w:name="_GoBack"/>
      <w:r/>
      <w:bookmarkEnd w:id="0"/>
      <w:r>
        <w:rPr>
          <w:szCs w:val="28"/>
          <w:lang w:eastAsia="ru-RU"/>
        </w:rPr>
        <w:t xml:space="preserve">1 № 334, от 30.06.2021 № 520, от 17.08.2021 № 739, от 01.09.2021 № 803, от 29.09.2021 № 927, от 14.12.2021 № 1229, от 30.12.2021 № 1357, от 24.02.2022 № 160, от 23.03.2022 № 259, от 07.04.2022 № 323, от 11.04.2022 № 345,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 13.08.2022 № 806,  от 05.09.2022 № 960, от 06.10.2022 № 1077, от 10.10.2022 № 1088, от 28.11.2022 № 1265, от 03.02.2023  № 93, от 14.02.2023 № 144, от 20.03.2023 № 283, от 27.04.2023 № 536, от 16.06.2023 № 7</w:t>
      </w:r>
      <w:r>
        <w:rPr>
          <w:szCs w:val="28"/>
          <w:lang w:eastAsia="ru-RU"/>
        </w:rPr>
        <w:t xml:space="preserve">25, от 22.06.2023 № 732, от 04.07.2023 № 791, от 08.08.2023 № 959, от 06.10.2023 № 1246, от 30.10.2023 № 1364, от 21.12.2023 № 1666, от 30.12.2023 № 1762, от 04.03.2024 № 121, от 23.05.2024 № 359, от 02.08.2024 № 617, от 28.08.2024 № 708, </w:t>
      </w:r>
      <w:r>
        <w:rPr>
          <w:highlight w:val="none"/>
        </w:rPr>
        <w:t xml:space="preserve">от 16.11.2024 № 1016, от 25.11.2024 № 1052, от 29.11.2024 № 1081, от 20.01.2025 № 24</w:t>
      </w:r>
      <w:r>
        <w:rPr>
          <w:highlight w:val="none"/>
        </w:rPr>
        <w:t xml:space="preserve">, от 17.02.2025 № 91, </w:t>
      </w:r>
      <w:r>
        <w:rPr>
          <w:highlight w:val="none"/>
        </w:rPr>
        <w:t xml:space="preserve">от 24.03.2025 № 167,</w:t>
      </w:r>
      <w:r>
        <w:rPr>
          <w:highlight w:val="none"/>
        </w:rPr>
        <w:t xml:space="preserve"> от 10.05.2025 № 307, от 24.10.2025 № 860, от 20.11.2025 № 972, от 28.01.2026 №48, от 30.01.2026 №58</w:t>
      </w:r>
      <w:r>
        <w:rPr>
          <w:highlight w:val="none"/>
        </w:rPr>
        <w:t xml:space="preserve">),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</w:rPr>
        <w:t xml:space="preserve">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транспортными средствами (предельное количество) и нормативный пробег транспортных средств для Министерства строительства, архитектуры и жилищно-коммунального хозяйства Республики Татарстан его территориальных органов и  подведомственных учреждений: 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76" w:lineRule="auto"/>
        <w:ind w:firstLine="709"/>
        <w:rPr>
          <w:highlight w:val="none"/>
        </w:rPr>
      </w:pPr>
      <w:r>
        <w:rPr>
          <w:szCs w:val="28"/>
          <w:highlight w:val="none"/>
          <w:lang w:eastAsia="ru-RU"/>
        </w:rPr>
      </w:r>
      <w:r>
        <w:rPr>
          <w:highlight w:val="none"/>
        </w:rPr>
        <w:t xml:space="preserve">в графе 4 строки «дежурный» пункта 1</w:t>
      </w:r>
      <w:r>
        <w:rPr>
          <w:highlight w:val="none"/>
          <w:lang w:eastAsia="ru-RU"/>
        </w:rPr>
        <w:t xml:space="preserve"> цифру «1» заменить цифрой «2»;</w:t>
      </w:r>
      <w:r>
        <w:rPr>
          <w:highlight w:val="none"/>
        </w:rPr>
      </w:r>
      <w:r>
        <w:rPr>
          <w:highlight w:val="none"/>
        </w:rPr>
      </w:r>
    </w:p>
    <w:p w14:paraId="4A0A0B80">
      <w:pPr>
        <w:pStyle w:val="894"/>
        <w:pBdr/>
        <w:spacing w:line="240" w:lineRule="auto"/>
        <w:ind w:firstLine="709"/>
        <w:rPr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Cs w:val="28"/>
          <w:lang w:eastAsia="ru-RU"/>
        </w:rPr>
        <w:t xml:space="preserve">в графе 4 строки «Итого» цифры «123» заменить цифрами «124»;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 w14:paraId="2D87FA3F">
      <w:pPr>
        <w:pStyle w:val="894"/>
        <w:pBdr/>
        <w:spacing w:line="276" w:lineRule="auto"/>
        <w:ind w:firstLine="709"/>
        <w:rPr>
          <w:highlight w:val="none"/>
        </w:rPr>
      </w:pPr>
      <w:r>
        <w:rPr>
          <w:highlight w:val="none"/>
        </w:rPr>
        <w:t xml:space="preserve">после строки «Итого» </w:t>
      </w:r>
      <w:r>
        <w:rPr>
          <w:highlight w:val="none"/>
        </w:rPr>
        <w:t xml:space="preserve">добавить строку следующего содержания: </w:t>
      </w:r>
      <w:r>
        <w:rPr>
          <w:highlight w:val="none"/>
        </w:rPr>
      </w:r>
      <w:r>
        <w:rPr>
          <w:highlight w:val="none"/>
        </w:rPr>
      </w:r>
    </w:p>
    <w:tbl>
      <w:tblPr>
        <w:tblStyle w:val="947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17"/>
        <w:gridCol w:w="1423"/>
        <w:gridCol w:w="1843"/>
        <w:gridCol w:w="1843"/>
        <w:gridCol w:w="1545"/>
      </w:tblGrid>
      <w:tr>
        <w:trPr>
          <w:trHeight w:val="19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7" w:type="dxa"/>
            <w:vAlign w:val="top"/>
            <w:textDirection w:val="lrTb"/>
            <w:noWrap w:val="false"/>
          </w:tcPr>
          <w:p w14:paraId="7CCC5F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7" w:type="dxa"/>
            <w:vAlign w:val="top"/>
            <w:textDirection w:val="lrTb"/>
            <w:noWrap w:val="false"/>
          </w:tcPr>
          <w:p w14:paraId="4C5F23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том числе обслуживаемые государственным бюджетным учреждением «Хозяйственное управление при Кабинете Министров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top"/>
            <w:textDirection w:val="lrTb"/>
            <w:noWrap w:val="false"/>
          </w:tcPr>
          <w:p w14:paraId="5E9937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14E82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EE1EF6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 w14:paraId="4E2685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134"/>
              </w:tabs>
              <w:spacing w:after="0" w:before="0" w:line="288" w:lineRule="atLeast"/>
              <w:ind w:right="2253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 w14:paraId="54F5A667">
      <w:pPr>
        <w:pStyle w:val="894"/>
        <w:pBdr/>
        <w:spacing w:line="276" w:lineRule="auto"/>
        <w:ind w:firstLine="70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разд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еле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Государственное бюджетное учреждение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обеспеченности транспортными средствами (предельное количество) и нормативного пробега транспортных средств для отдельных организаций бюджетной сферы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szCs w:val="28"/>
          <w:shd w:val="clear" w:color="auto" w:fill="ffffff"/>
          <w:lang w:eastAsia="ru-RU"/>
        </w:rPr>
        <w:t xml:space="preserve">в графе 4 </w:t>
      </w:r>
      <w:r>
        <w:rPr>
          <w:szCs w:val="28"/>
          <w:shd w:val="clear" w:color="auto" w:fill="ffffff"/>
        </w:rPr>
        <w:t xml:space="preserve">пункта 7</w:t>
      </w:r>
      <w:r>
        <w:rPr>
          <w:szCs w:val="28"/>
        </w:rPr>
        <w:t xml:space="preserve"> циф</w:t>
      </w:r>
      <w:r>
        <w:rPr>
          <w:szCs w:val="28"/>
          <w:highlight w:val="white"/>
        </w:rPr>
        <w:t xml:space="preserve">р</w:t>
      </w:r>
      <w:r>
        <w:rPr>
          <w:szCs w:val="28"/>
          <w:highlight w:val="white"/>
        </w:rPr>
        <w:t xml:space="preserve">ы</w:t>
      </w:r>
      <w:r>
        <w:rPr>
          <w:szCs w:val="28"/>
          <w:highlight w:val="white"/>
        </w:rPr>
        <w:t xml:space="preserve"> «</w:t>
      </w:r>
      <w:r>
        <w:rPr>
          <w:szCs w:val="28"/>
          <w:highlight w:val="white"/>
        </w:rPr>
        <w:t xml:space="preserve">182</w:t>
      </w:r>
      <w:r>
        <w:rPr>
          <w:szCs w:val="28"/>
          <w:highlight w:val="white"/>
        </w:rPr>
        <w:t xml:space="preserve">» заменить цифр</w:t>
      </w:r>
      <w:r>
        <w:rPr>
          <w:szCs w:val="28"/>
          <w:highlight w:val="white"/>
        </w:rPr>
        <w:t xml:space="preserve">ами</w:t>
      </w:r>
      <w:r>
        <w:rPr>
          <w:szCs w:val="28"/>
          <w:highlight w:val="white"/>
        </w:rPr>
        <w:t xml:space="preserve"> «</w:t>
      </w:r>
      <w:r>
        <w:rPr>
          <w:szCs w:val="28"/>
          <w:highlight w:val="white"/>
        </w:rPr>
        <w:t xml:space="preserve">18</w:t>
      </w:r>
      <w:r>
        <w:rPr>
          <w:szCs w:val="28"/>
          <w:highlight w:val="white"/>
        </w:rPr>
        <w:t xml:space="preserve">4</w:t>
      </w:r>
      <w:r>
        <w:rPr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pStyle w:val="894"/>
        <w:pBdr/>
        <w:spacing w:line="240" w:lineRule="auto"/>
        <w:ind w:right="-1" w:firstLine="709"/>
        <w:rPr>
          <w:highlight w:val="white"/>
          <w:shd w:val="clear" w:color="auto" w:fill="ffffff"/>
        </w:rPr>
      </w:pPr>
      <w:r>
        <w:rPr>
          <w:szCs w:val="28"/>
          <w:highlight w:val="white"/>
          <w:shd w:val="clear" w:color="auto" w:fill="ffffff"/>
          <w:lang w:eastAsia="ru-RU"/>
        </w:rPr>
        <w:t xml:space="preserve">в графе 4 строки «Итого» цифры «</w:t>
      </w:r>
      <w:r>
        <w:rPr>
          <w:szCs w:val="28"/>
          <w:highlight w:val="white"/>
          <w:shd w:val="clear" w:color="auto" w:fill="ffffff"/>
        </w:rPr>
        <w:t xml:space="preserve">489</w:t>
      </w:r>
      <w:r>
        <w:rPr>
          <w:szCs w:val="28"/>
          <w:highlight w:val="white"/>
          <w:shd w:val="clear" w:color="auto" w:fill="ffffff"/>
          <w:lang w:eastAsia="ru-RU"/>
        </w:rPr>
        <w:t xml:space="preserve">» заменить </w:t>
      </w:r>
      <w:r>
        <w:rPr>
          <w:szCs w:val="28"/>
          <w:highlight w:val="white"/>
          <w:shd w:val="clear" w:color="auto" w:fill="ffffff"/>
        </w:rPr>
        <w:t xml:space="preserve">цифрами </w:t>
      </w:r>
      <w:r>
        <w:rPr>
          <w:szCs w:val="28"/>
          <w:highlight w:val="white"/>
          <w:shd w:val="clear" w:color="auto" w:fill="ffffff"/>
          <w:lang w:eastAsia="ru-RU"/>
        </w:rPr>
        <w:t xml:space="preserve">«</w:t>
      </w:r>
      <w:r>
        <w:rPr>
          <w:szCs w:val="28"/>
          <w:highlight w:val="white"/>
          <w:shd w:val="clear" w:color="auto" w:fill="ffffff"/>
        </w:rPr>
        <w:t xml:space="preserve">4</w:t>
      </w:r>
      <w:r>
        <w:rPr>
          <w:szCs w:val="28"/>
          <w:highlight w:val="white"/>
          <w:shd w:val="clear" w:color="auto" w:fill="ffffff"/>
        </w:rPr>
        <w:t xml:space="preserve">91</w:t>
      </w:r>
      <w:r>
        <w:rPr>
          <w:szCs w:val="28"/>
          <w:highlight w:val="white"/>
          <w:shd w:val="clear" w:color="auto" w:fill="ffffff"/>
          <w:lang w:eastAsia="ru-RU"/>
        </w:rPr>
        <w:t xml:space="preserve">»</w:t>
      </w:r>
      <w:r>
        <w:rPr>
          <w:szCs w:val="28"/>
          <w:highlight w:val="white"/>
          <w:shd w:val="clear" w:color="auto" w:fill="ffffff"/>
        </w:rPr>
        <w:t xml:space="preserve">.</w:t>
      </w:r>
      <w:r>
        <w:rPr>
          <w:highlight w:val="white"/>
          <w:shd w:val="clear" w:color="auto" w:fill="ffffff"/>
        </w:rPr>
      </w:r>
      <w:r>
        <w:rPr>
          <w:highlight w:val="white"/>
          <w:shd w:val="clear" w:color="auto" w:fill="fffff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/>
      </w:pPr>
      <w:r>
        <w:rPr>
          <w:szCs w:val="28"/>
          <w:highlight w:val="none"/>
        </w:rPr>
      </w:r>
      <w:r/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Премьер-министр                                                                                       А.В. Песошин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szCs w:val="28"/>
        </w:rPr>
      </w:pPr>
      <w:r>
        <w:rPr>
          <w:szCs w:val="28"/>
        </w:rPr>
        <w:t xml:space="preserve">Республики Татарстан</w:t>
        <w:tab/>
        <w:t xml:space="preserve">                                                                               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134" w:header="51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ucida Sans">
    <w:panose1 w:val="020B06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718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719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720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721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722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723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724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725">
    <w:name w:val="toc 9"/>
    <w:basedOn w:val="894"/>
    <w:next w:val="894"/>
    <w:uiPriority w:val="39"/>
    <w:unhideWhenUsed/>
    <w:pPr>
      <w:pBdr/>
      <w:spacing w:after="100"/>
      <w:ind w:left="1760"/>
    </w:pPr>
  </w:style>
  <w:style w:type="table" w:styleId="726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894"/>
    <w:next w:val="894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894"/>
    <w:next w:val="894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894"/>
    <w:next w:val="894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894"/>
    <w:next w:val="894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894"/>
    <w:next w:val="894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894"/>
    <w:next w:val="894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894"/>
    <w:next w:val="894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894"/>
    <w:next w:val="894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894"/>
    <w:next w:val="894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895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895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895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895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89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895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895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89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89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Title Char"/>
    <w:basedOn w:val="895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894"/>
    <w:next w:val="894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95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894"/>
    <w:next w:val="894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95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894"/>
    <w:next w:val="894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95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895"/>
    <w:link w:val="917"/>
    <w:uiPriority w:val="99"/>
    <w:pPr>
      <w:pBdr/>
      <w:spacing/>
      <w:ind/>
    </w:pPr>
  </w:style>
  <w:style w:type="character" w:styleId="885">
    <w:name w:val="Footer Char"/>
    <w:basedOn w:val="895"/>
    <w:link w:val="918"/>
    <w:uiPriority w:val="99"/>
    <w:pPr>
      <w:pBdr/>
      <w:spacing/>
      <w:ind/>
    </w:pPr>
  </w:style>
  <w:style w:type="paragraph" w:styleId="886">
    <w:name w:val="footnote text"/>
    <w:basedOn w:val="894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95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894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95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8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6" w:customStyle="1">
    <w:name w:val="Заголовок Знак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897" w:customStyle="1">
    <w:name w:val="Верхний колонтитул Знак"/>
    <w:basedOn w:val="895"/>
    <w:uiPriority w:val="99"/>
    <w:qFormat/>
    <w:pPr>
      <w:pBdr/>
      <w:spacing/>
      <w:ind/>
    </w:pPr>
  </w:style>
  <w:style w:type="character" w:styleId="898" w:customStyle="1">
    <w:name w:val="Нижний колонтитул Знак"/>
    <w:basedOn w:val="895"/>
    <w:uiPriority w:val="99"/>
    <w:qFormat/>
    <w:pPr>
      <w:pBdr/>
      <w:spacing/>
      <w:ind/>
    </w:pPr>
  </w:style>
  <w:style w:type="character" w:styleId="899" w:customStyle="1">
    <w:name w:val="Текст выноски Знак"/>
    <w:link w:val="919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Hyperlink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01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02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3" w:customStyle="1">
    <w:name w:val="Текст примечания Знак"/>
    <w:link w:val="9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4" w:customStyle="1">
    <w:name w:val="Тема примечания Знак"/>
    <w:link w:val="94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05">
    <w:name w:val="Placeholder Text"/>
    <w:uiPriority w:val="99"/>
    <w:semiHidden/>
    <w:qFormat/>
    <w:pPr>
      <w:pBdr/>
      <w:spacing/>
      <w:ind/>
    </w:pPr>
    <w:rPr>
      <w:color w:val="808080"/>
    </w:rPr>
  </w:style>
  <w:style w:type="paragraph" w:styleId="906">
    <w:name w:val="Заголовок"/>
    <w:basedOn w:val="894"/>
    <w:next w:val="907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07">
    <w:name w:val="Body Text"/>
    <w:basedOn w:val="894"/>
    <w:pPr>
      <w:pBdr/>
      <w:spacing w:after="140" w:before="0"/>
      <w:ind/>
    </w:pPr>
  </w:style>
  <w:style w:type="paragraph" w:styleId="908">
    <w:name w:val="List"/>
    <w:basedOn w:val="907"/>
    <w:pPr>
      <w:pBdr/>
      <w:spacing/>
      <w:ind/>
    </w:pPr>
    <w:rPr>
      <w:rFonts w:ascii="PT Astra Serif" w:hAnsi="PT Astra Serif" w:cs="Noto Sans Devanagari"/>
    </w:rPr>
  </w:style>
  <w:style w:type="paragraph" w:styleId="909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Lucida Sans"/>
      <w:i/>
      <w:iCs/>
      <w:sz w:val="24"/>
      <w:szCs w:val="24"/>
    </w:rPr>
  </w:style>
  <w:style w:type="paragraph" w:styleId="910">
    <w:name w:val="Указатель"/>
    <w:basedOn w:val="894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11">
    <w:name w:val="Title"/>
    <w:basedOn w:val="894"/>
    <w:next w:val="907"/>
    <w:link w:val="896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12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index heading"/>
    <w:basedOn w:val="894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14">
    <w:name w:val="List Paragraph"/>
    <w:basedOn w:val="894"/>
    <w:uiPriority w:val="34"/>
    <w:qFormat/>
    <w:pPr>
      <w:pBdr/>
      <w:spacing w:after="0" w:before="0"/>
      <w:ind w:firstLine="0" w:left="720"/>
      <w:contextualSpacing w:val="true"/>
    </w:pPr>
  </w:style>
  <w:style w:type="paragraph" w:styleId="915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16" w:customStyle="1">
    <w:name w:val="Колонтитул"/>
    <w:basedOn w:val="894"/>
    <w:qFormat/>
    <w:pPr>
      <w:pBdr/>
      <w:spacing/>
      <w:ind/>
    </w:pPr>
  </w:style>
  <w:style w:type="paragraph" w:styleId="917">
    <w:name w:val="Header"/>
    <w:basedOn w:val="894"/>
    <w:link w:val="8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8">
    <w:name w:val="Footer"/>
    <w:basedOn w:val="894"/>
    <w:link w:val="89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9">
    <w:name w:val="Balloon Text"/>
    <w:basedOn w:val="894"/>
    <w:link w:val="899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20" w:customStyle="1">
    <w:name w:val="xl63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21" w:customStyle="1">
    <w:name w:val="xl64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2" w:customStyle="1">
    <w:name w:val="xl65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3" w:customStyle="1">
    <w:name w:val="xl6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4" w:customStyle="1">
    <w:name w:val="xl67"/>
    <w:basedOn w:val="894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5" w:customStyle="1">
    <w:name w:val="xl6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6" w:customStyle="1">
    <w:name w:val="xl69"/>
    <w:basedOn w:val="894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7" w:customStyle="1">
    <w:name w:val="xl7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8" w:customStyle="1">
    <w:name w:val="xl71"/>
    <w:basedOn w:val="894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9" w:customStyle="1">
    <w:name w:val="xl72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0" w:customStyle="1">
    <w:name w:val="xl73"/>
    <w:basedOn w:val="894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1" w:customStyle="1">
    <w:name w:val="xl74"/>
    <w:basedOn w:val="894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2" w:customStyle="1">
    <w:name w:val="xl75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33" w:customStyle="1">
    <w:name w:val="xl7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4" w:customStyle="1">
    <w:name w:val="xl77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5" w:customStyle="1">
    <w:name w:val="xl7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6" w:customStyle="1">
    <w:name w:val="xl79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7" w:customStyle="1">
    <w:name w:val="xl8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8" w:customStyle="1">
    <w:name w:val="Обычный (веб)1"/>
    <w:basedOn w:val="894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paragraph" w:styleId="939">
    <w:name w:val="annotation text"/>
    <w:basedOn w:val="894"/>
    <w:link w:val="903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40">
    <w:name w:val="annotation subject"/>
    <w:basedOn w:val="939"/>
    <w:next w:val="939"/>
    <w:link w:val="904"/>
    <w:uiPriority w:val="99"/>
    <w:semiHidden/>
    <w:unhideWhenUsed/>
    <w:qFormat/>
    <w:pPr>
      <w:pBdr/>
      <w:spacing/>
      <w:ind/>
    </w:pPr>
    <w:rPr>
      <w:b/>
      <w:bCs/>
    </w:rPr>
  </w:style>
  <w:style w:type="paragraph" w:styleId="941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ru-RU" w:bidi="ar-SA"/>
    </w:rPr>
  </w:style>
  <w:style w:type="paragraph" w:styleId="942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943" w:customStyle="1">
    <w:name w:val="Содержимое таблицы"/>
    <w:basedOn w:val="894"/>
    <w:qFormat/>
    <w:pPr>
      <w:widowControl w:val="false"/>
      <w:suppressLineNumbers w:val="true"/>
      <w:pBdr/>
      <w:spacing/>
      <w:ind/>
    </w:pPr>
  </w:style>
  <w:style w:type="paragraph" w:styleId="944" w:customStyle="1">
    <w:name w:val="Заголовок таблицы"/>
    <w:basedOn w:val="943"/>
    <w:qFormat/>
    <w:pPr>
      <w:pBdr/>
      <w:spacing/>
      <w:ind/>
      <w:jc w:val="center"/>
    </w:pPr>
    <w:rPr>
      <w:b/>
      <w:bCs/>
    </w:rPr>
  </w:style>
  <w:style w:type="numbering" w:styleId="945" w:default="1">
    <w:name w:val="No List"/>
    <w:uiPriority w:val="99"/>
    <w:semiHidden/>
    <w:unhideWhenUsed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Table Grid"/>
    <w:basedOn w:val="94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7B6A-D543-4261-9393-C20B542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HeadingPairs>
    <vt:vector size="0" baseType="variant"/>
  </HeadingPairs>
  <TitlesOfParts>
    <vt:vector size="0" baseType="lpstr"/>
  </TitlesOfPart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45</cp:revision>
  <dcterms:created xsi:type="dcterms:W3CDTF">2024-08-14T07:27:00Z</dcterms:created>
  <dcterms:modified xsi:type="dcterms:W3CDTF">2026-02-13T06:16:44Z</dcterms:modified>
</cp:coreProperties>
</file>