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4"/>
        <w:pBdr/>
        <w:spacing/>
        <w:ind w:right="60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                                                    КАРАР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right="605"/>
        <w:rPr>
          <w:sz w:val="28"/>
          <w:szCs w:val="28"/>
        </w:rPr>
      </w:pPr>
      <w:r>
        <w:rPr>
          <w:sz w:val="28"/>
          <w:szCs w:val="28"/>
        </w:rPr>
        <w:t xml:space="preserve">                   от _________                                                                  №______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tabs>
          <w:tab w:val="left" w:leader="none" w:pos="709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9"/>
        <w:pBdr/>
        <w:tabs>
          <w:tab w:val="left" w:leader="none" w:pos="7513"/>
        </w:tabs>
        <w:spacing/>
        <w:ind w:right="56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09"/>
        <w:pBdr/>
        <w:tabs>
          <w:tab w:val="left" w:leader="none" w:pos="7513"/>
        </w:tabs>
        <w:spacing/>
        <w:ind w:right="56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09"/>
        <w:pBdr/>
        <w:tabs>
          <w:tab w:val="left" w:leader="none" w:pos="7513"/>
        </w:tabs>
        <w:spacing w:line="276" w:lineRule="auto"/>
        <w:ind w:right="56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</w:t>
      </w:r>
      <w:r>
        <w:rPr>
          <w:b w:val="0"/>
          <w:sz w:val="28"/>
          <w:szCs w:val="28"/>
        </w:rPr>
        <w:t xml:space="preserve">й</w:t>
      </w:r>
      <w:r>
        <w:rPr>
          <w:b w:val="0"/>
          <w:sz w:val="28"/>
          <w:szCs w:val="28"/>
        </w:rPr>
        <w:t xml:space="preserve"> в отдельные  </w:t>
      </w:r>
      <w:r>
        <w:rPr>
          <w:b w:val="0"/>
          <w:sz w:val="28"/>
          <w:szCs w:val="28"/>
        </w:rPr>
        <w:t xml:space="preserve">постановления Кабинета Министров Республики Татарстан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09"/>
        <w:pBdr/>
        <w:tabs>
          <w:tab w:val="left" w:leader="none" w:pos="7513"/>
        </w:tabs>
        <w:spacing w:line="276" w:lineRule="auto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tabs>
          <w:tab w:val="left" w:leader="none" w:pos="709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6"/>
        <w:pBdr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4"/>
        <w:numPr>
          <w:ilvl w:val="0"/>
          <w:numId w:val="38"/>
        </w:numPr>
        <w:pBdr/>
        <w:spacing w:line="276" w:lineRule="auto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sz w:val="28"/>
          <w:szCs w:val="28"/>
        </w:rPr>
        <w:t xml:space="preserve">от 24.11.2021 №1114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нормативов стоимости услуг, связанных с обеспечением антитеррор</w:t>
      </w:r>
      <w:r>
        <w:rPr>
          <w:sz w:val="28"/>
          <w:szCs w:val="28"/>
        </w:rPr>
        <w:t xml:space="preserve">истической защищенности объектов (территорий) государственных и муниципальных образовательных организаций Республики Татарстан, при осуществлении их закупок у частных охранных организаций, и установлении количества постов охраны с 12-часовым режимом работы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29.12.2021 №1307, от 05.07.2024 №523)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tabs>
          <w:tab w:val="left" w:leader="none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абзаце втором пункта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«162» заменить цифрой «230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tabs>
          <w:tab w:val="left" w:leader="none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пункта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«162» заменить цифрой «230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tabs>
          <w:tab w:val="left" w:leader="none" w:pos="993"/>
        </w:tabs>
        <w:spacing w:line="276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четвертом</w:t>
      </w:r>
      <w:r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«140» заменить цифрой «230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58A2CCC4">
      <w:pPr>
        <w:numPr>
          <w:ilvl w:val="0"/>
          <w:numId w:val="38"/>
        </w:numPr>
        <w:pBdr/>
        <w:spacing w:line="276" w:lineRule="auto"/>
        <w:ind w:right="0" w:firstLine="709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етодические рекомендации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осуществлении </w:t>
      </w:r>
      <w:r>
        <w:rPr>
          <w:sz w:val="28"/>
          <w:szCs w:val="28"/>
        </w:rPr>
        <w:t xml:space="preserve">их закупок у частных охранных организаций</w:t>
      </w:r>
      <w:r>
        <w:rPr>
          <w:sz w:val="28"/>
          <w:szCs w:val="28"/>
        </w:rPr>
        <w:t xml:space="preserve">, утвержденные постановлением Кабинета Министров Республики Татарстан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23.11.2021 </w:t>
      </w:r>
      <w:r>
        <w:rPr>
          <w:sz w:val="28"/>
          <w:szCs w:val="28"/>
          <w:lang w:val="ru-RU"/>
        </w:rPr>
        <w:t xml:space="preserve">№</w:t>
      </w:r>
      <w:r>
        <w:rPr>
          <w:sz w:val="28"/>
          <w:szCs w:val="28"/>
        </w:rPr>
        <w:t xml:space="preserve">1112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утверждении Методических рекомендаций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</w:t>
      </w:r>
      <w:r>
        <w:rPr>
          <w:sz w:val="28"/>
          <w:szCs w:val="28"/>
        </w:rPr>
        <w:t xml:space="preserve">льных организаций Республики Татарстан, при осуществлении их закупок у частных охранных организаций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07.05.2022 №423, от 28.11.2023 №1524)</w:t>
      </w:r>
      <w:r>
        <w:rPr>
          <w:sz w:val="28"/>
          <w:szCs w:val="28"/>
          <w:lang w:val="ru-RU"/>
        </w:rPr>
        <w:t xml:space="preserve"> следующие изменения: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 w14:paraId="672AA37E">
      <w:pPr>
        <w:pBdr/>
        <w:tabs>
          <w:tab w:val="left" w:leader="none" w:pos="993"/>
        </w:tabs>
        <w:spacing w:line="276" w:lineRule="auto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в а</w:t>
      </w:r>
      <w:r>
        <w:rPr>
          <w:sz w:val="28"/>
          <w:szCs w:val="28"/>
          <w:highlight w:val="none"/>
        </w:rPr>
        <w:t xml:space="preserve">бзаце первом пункта 3 слова «1 и 2 категорий </w:t>
      </w:r>
      <w:r>
        <w:rPr>
          <w:sz w:val="28"/>
          <w:szCs w:val="28"/>
          <w:highlight w:val="none"/>
        </w:rPr>
        <w:t xml:space="preserve">опасности объекта охраны (NC</w:t>
      </w:r>
      <w:r>
        <w:rPr>
          <w:sz w:val="28"/>
          <w:szCs w:val="28"/>
          <w:highlight w:val="none"/>
          <w:vertAlign w:val="subscript"/>
        </w:rPr>
        <w:t xml:space="preserve">1,2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» заменить словами «1, 2 и 3 категорий </w:t>
      </w:r>
      <w:r>
        <w:rPr>
          <w:sz w:val="28"/>
          <w:szCs w:val="28"/>
          <w:highlight w:val="none"/>
        </w:rPr>
        <w:t xml:space="preserve">опасности объекта охраны (NC</w:t>
      </w:r>
      <w:r>
        <w:rPr>
          <w:sz w:val="28"/>
          <w:szCs w:val="28"/>
          <w:highlight w:val="none"/>
          <w:vertAlign w:val="subscript"/>
        </w:rPr>
        <w:t xml:space="preserve">1,2,3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0B673B5B">
      <w:pPr>
        <w:pBdr/>
        <w:tabs>
          <w:tab w:val="left" w:leader="none" w:pos="993"/>
        </w:tabs>
        <w:spacing w:line="276" w:lineRule="auto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абзац второй пункта 3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74247F0F">
      <w:pPr>
        <w:pBdr/>
        <w:tabs>
          <w:tab w:val="left" w:leader="none" w:pos="993"/>
        </w:tabs>
        <w:spacing w:line="276" w:lineRule="auto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NC</w:t>
      </w:r>
      <w:r>
        <w:rPr>
          <w:sz w:val="28"/>
          <w:szCs w:val="28"/>
          <w:highlight w:val="none"/>
          <w:vertAlign w:val="subscript"/>
        </w:rPr>
        <w:t xml:space="preserve">1,2,3 </w:t>
      </w:r>
      <w:r>
        <w:rPr>
          <w:sz w:val="28"/>
          <w:szCs w:val="28"/>
          <w:highlight w:val="none"/>
        </w:rPr>
        <w:t xml:space="preserve"> = </w:t>
      </w:r>
      <w:r>
        <w:rPr>
          <w:sz w:val="28"/>
          <w:szCs w:val="28"/>
          <w:highlight w:val="none"/>
          <w:lang w:val="en-US"/>
        </w:rPr>
        <w:t xml:space="preserve">FCk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×</w:t>
      </w:r>
      <w:r>
        <w:rPr>
          <w:sz w:val="28"/>
          <w:szCs w:val="28"/>
          <w:highlight w:val="none"/>
          <w:lang w:val="en-US"/>
        </w:rPr>
        <w:t xml:space="preserve"> </w:t>
      </w:r>
      <m:oMath>
        <m:sSubSup>
          <m:sSubSupPr>
            <m:alnScr m:val="off"/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none"/>
                <w:lang w:val="en-US"/>
              </w:rPr>
            </m:ctrlPr>
          </m:sSubSup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val="en-US" w:bidi="en-US"/>
              </w:rPr>
              <m:rPr>
                <m:sty m:val="p"/>
              </m:rPr>
              <m:t>I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val="en-US" w:bidi="en-US"/>
              </w:rPr>
              <m:rPr>
                <m:sty m:val="p"/>
              </m:rPr>
              <m:t>inf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val="en-US" w:bidi="en-US"/>
              </w:rPr>
              <m:rPr>
                <m:sty m:val="p"/>
              </m:rPr>
              <m:t>k+1</m:t>
            </m:r>
          </m:sup>
        </m:sSubSup>
      </m:oMath>
      <w:r>
        <w:rPr>
          <w:sz w:val="28"/>
          <w:szCs w:val="28"/>
          <w:highlight w:val="none"/>
          <w:lang w:val="ru-RU"/>
        </w:rPr>
        <w:t xml:space="preserve">,»;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 w14:paraId="17ED6FB6">
      <w:pPr>
        <w:pBdr/>
        <w:spacing w:line="276" w:lineRule="auto"/>
        <w:ind w:right="0" w:firstLine="0" w:left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абзацы шестой - восьмой</w:t>
      </w:r>
      <w:r>
        <w:rPr>
          <w:sz w:val="28"/>
          <w:szCs w:val="28"/>
          <w:highlight w:val="none"/>
          <w:lang w:val="ru-RU"/>
        </w:rPr>
        <w:t xml:space="preserve"> пункта 3 </w:t>
      </w:r>
      <w:r>
        <w:rPr>
          <w:sz w:val="28"/>
          <w:szCs w:val="28"/>
          <w:highlight w:val="none"/>
          <w:lang w:val="ru-RU"/>
        </w:rPr>
        <w:t xml:space="preserve">признать утратившими силу.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 w14:paraId="2C195723">
      <w:pPr>
        <w:numPr>
          <w:ilvl w:val="0"/>
          <w:numId w:val="38"/>
        </w:numPr>
        <w:pBdr/>
        <w:spacing w:line="276" w:lineRule="auto"/>
        <w:ind w:right="0" w:firstLine="709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10.10.2024 №874 «Об утверждении нормативов стоимости услуг, связанных с обеспечением антитеррористической защищенности объектов (территорий) подведомственных Министерству здравоохранения Республики Татарстан медицинских организаций, иных организаций и их о</w:t>
      </w:r>
      <w:r>
        <w:rPr>
          <w:sz w:val="28"/>
          <w:szCs w:val="28"/>
          <w:lang w:val="ru-RU"/>
        </w:rPr>
        <w:t xml:space="preserve">бособленных подразделений, осуществляющих деятельность в сфере охраны здоровья, при осуществлении их закупок у частных охранных организаций» следующее изменение: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 w14:paraId="0922E446">
      <w:pPr>
        <w:pBdr/>
        <w:spacing w:line="276" w:lineRule="auto"/>
        <w:ind w:right="0" w:firstLine="0" w:left="709"/>
        <w:jc w:val="both"/>
        <w:rPr>
          <w:sz w:val="28"/>
          <w:szCs w:val="28"/>
          <w:highlight w:val="none"/>
          <w:lang w:val="ru-RU"/>
          <w14:ligatures w14:val="none"/>
        </w:rPr>
      </w:pPr>
      <w:r>
        <w:rPr>
          <w:sz w:val="28"/>
          <w:szCs w:val="28"/>
          <w:highlight w:val="none"/>
          <w:lang w:val="ru-RU"/>
        </w:rPr>
        <w:t xml:space="preserve">в пункте первом цифру «163»</w:t>
      </w:r>
      <w:r>
        <w:rPr>
          <w:sz w:val="28"/>
          <w:szCs w:val="28"/>
          <w:highlight w:val="none"/>
          <w:lang w:val="ru-RU"/>
        </w:rPr>
        <w:t xml:space="preserve"> заменить цифрой «230»</w:t>
      </w:r>
      <w:r>
        <w:rPr>
          <w:sz w:val="28"/>
          <w:szCs w:val="28"/>
          <w:highlight w:val="none"/>
          <w:lang w:val="ru-RU"/>
        </w:rPr>
        <w:t xml:space="preserve">.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 w14:paraId="16A39983">
      <w:pPr>
        <w:pBdr/>
        <w:spacing w:line="240" w:lineRule="auto"/>
        <w:ind w:right="0" w:firstLine="0" w:left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 w14:paraId="22DA1F58">
      <w:pPr>
        <w:pBdr/>
        <w:spacing w:line="240" w:lineRule="auto"/>
        <w:ind w:right="0" w:firstLine="0" w:left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 w14:paraId="1803E3FA">
      <w:pPr>
        <w:pBdr/>
        <w:spacing w:line="240" w:lineRule="auto"/>
        <w:ind w:right="0" w:firstLine="0" w:left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1004"/>
        <w:pBdr/>
        <w:spacing w:line="24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 w:line="24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 w:line="24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 w:line="240" w:lineRule="auto"/>
        <w:ind w:right="-1"/>
        <w:rPr>
          <w:vanish/>
          <w:position w:val="-8"/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</w:t>
      </w:r>
      <w:r>
        <w:rPr>
          <w:vanish/>
          <w:position w:val="-8"/>
          <w:sz w:val="28"/>
          <w:szCs w:val="28"/>
        </w:rPr>
      </w:r>
      <w:r>
        <w:rPr>
          <w:vanish/>
          <w:position w:val="-8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851" w:left="1134" w:header="510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jc w:val="center"/>
      <w:rPr>
        <w:sz w:val="22"/>
      </w:rPr>
    </w:pPr>
    <w:r>
      <w:rPr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</w:rPr>
      <w:t xml:space="preserve">6</w:t>
    </w:r>
    <w:r>
      <w:rPr>
        <w:sz w:val="22"/>
      </w:rPr>
      <w:fldChar w:fldCharType="end"/>
    </w:r>
    <w:r>
      <w:rPr>
        <w:sz w:val="22"/>
      </w:rPr>
      <w:t xml:space="preserve"> -</w:t>
    </w:r>
    <w:r>
      <w:rPr>
        <w:sz w:val="22"/>
      </w:rPr>
    </w:r>
    <w:r>
      <w:rPr>
        <w:sz w:val="22"/>
      </w:rPr>
    </w:r>
  </w:p>
  <w:p>
    <w:pPr>
      <w:pStyle w:val="10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27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">
    <w:nsid w:val="0DB0556C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2">
    <w:nsid w:val="101F319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nsid w:val="16446D1C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nsid w:val="16DB7EAB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5">
    <w:nsid w:val="1773578E"/>
    <w:lvl w:ilvl="0">
      <w:isLgl w:val="false"/>
      <w:lvlJc w:val="left"/>
      <w:lvlText w:val="%1."/>
      <w:numFmt w:val="upperRoman"/>
      <w:pPr>
        <w:pBdr/>
        <w:spacing/>
        <w:ind w:hanging="720" w:left="12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50" w:left="1012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30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326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70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73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11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13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516"/>
      </w:pPr>
      <w:rPr/>
      <w:start w:val="1"/>
      <w:suff w:val="tab"/>
    </w:lvl>
  </w:abstractNum>
  <w:abstractNum w:abstractNumId="6">
    <w:nsid w:val="1F7878C4"/>
    <w:lvl w:ilvl="0">
      <w:isLgl w:val="false"/>
      <w:lvlJc w:val="left"/>
      <w:lvlText w:val=""/>
      <w:numFmt w:val="bullet"/>
      <w:pPr>
        <w:pBdr/>
        <w:spacing/>
        <w:ind w:hanging="360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80"/>
      </w:pPr>
      <w:rPr>
        <w:rFonts w:ascii="Wingdings" w:hAnsi="Wingdings"/>
      </w:rPr>
      <w:start w:val="1"/>
      <w:suff w:val="tab"/>
    </w:lvl>
  </w:abstractNum>
  <w:abstractNum w:abstractNumId="7">
    <w:nsid w:val="22850884"/>
    <w:lvl w:ilvl="0">
      <w:isLgl w:val="false"/>
      <w:lvlJc w:val="left"/>
      <w:lvlText w:val=""/>
      <w:numFmt w:val="bullet"/>
      <w:pPr>
        <w:pBdr/>
        <w:spacing/>
        <w:ind w:hanging="360" w:left="12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20"/>
      </w:pPr>
      <w:rPr>
        <w:rFonts w:ascii="Wingdings" w:hAnsi="Wingdings"/>
      </w:rPr>
      <w:start w:val="1"/>
      <w:suff w:val="tab"/>
    </w:lvl>
  </w:abstractNum>
  <w:abstractNum w:abstractNumId="8">
    <w:nsid w:val="265C623E"/>
    <w:lvl w:ilvl="0">
      <w:isLgl w:val="false"/>
      <w:lvlJc w:val="left"/>
      <w:lvlText w:val="%1."/>
      <w:numFmt w:val="decimal"/>
      <w:pPr>
        <w:pBdr/>
        <w:spacing/>
        <w:ind w:hanging="990" w:left="16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nsid w:val="27CE4D71"/>
    <w:lvl w:ilvl="0">
      <w:isLgl w:val="false"/>
      <w:lvlJc w:val="left"/>
      <w:lvlText w:val="%1."/>
      <w:numFmt w:val="decimal"/>
      <w:pPr>
        <w:pBdr/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0">
    <w:nsid w:val="2A372820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nsid w:val="2CE92070"/>
    <w:lvl w:ilvl="0">
      <w:isLgl w:val="false"/>
      <w:legacy w:legacy="true" w:legacyIndent="0" w:legacySpace="0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</w:rPr>
      <w:start w:val="3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nsid w:val="31635E87"/>
    <w:lvl w:ilvl="0">
      <w:isLgl w:val="false"/>
      <w:lvlJc w:val="left"/>
      <w:lvlText w:val="%1."/>
      <w:numFmt w:val="decimal"/>
      <w:pPr>
        <w:pBdr/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nsid w:val="32D01461"/>
    <w:lvl w:ilvl="0">
      <w:isLgl w:val="false"/>
      <w:lvlJc w:val="left"/>
      <w:lvlText w:val="%1."/>
      <w:numFmt w:val="decimal"/>
      <w:pPr>
        <w:pBdr/>
        <w:tabs>
          <w:tab w:val="num" w:leader="none" w:pos="990"/>
        </w:tabs>
        <w:spacing/>
        <w:ind w:hanging="990" w:left="99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>
        <w:rFonts w:cs="Times New Roman"/>
      </w:rPr>
      <w:start w:val="1"/>
      <w:suff w:val="tab"/>
    </w:lvl>
  </w:abstractNum>
  <w:abstractNum w:abstractNumId="14">
    <w:nsid w:val="37160338"/>
    <w:lvl w:ilvl="0">
      <w:isLgl w:val="false"/>
      <w:lvlJc w:val="left"/>
      <w:lvlText w:val=""/>
      <w:numFmt w:val="bullet"/>
      <w:pPr>
        <w:pBdr/>
        <w:spacing/>
        <w:ind w:hanging="360" w:left="16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80"/>
      </w:pPr>
      <w:rPr>
        <w:rFonts w:ascii="Wingdings" w:hAnsi="Wingdings"/>
      </w:rPr>
      <w:start w:val="1"/>
      <w:suff w:val="tab"/>
    </w:lvl>
  </w:abstractNum>
  <w:abstractNum w:abstractNumId="15">
    <w:nsid w:val="3BDF0DB8"/>
    <w:lvl w:ilvl="0">
      <w:isLgl w:val="false"/>
      <w:lvlJc w:val="left"/>
      <w:lvlText w:val=""/>
      <w:numFmt w:val="bullet"/>
      <w:pPr>
        <w:pBdr/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3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5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7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9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1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3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5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79"/>
      </w:pPr>
      <w:rPr>
        <w:rFonts w:ascii="Wingdings" w:hAnsi="Wingdings"/>
      </w:rPr>
      <w:start w:val="1"/>
      <w:suff w:val="tab"/>
    </w:lvl>
  </w:abstractNum>
  <w:abstractNum w:abstractNumId="16">
    <w:nsid w:val="3C5F517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7">
    <w:nsid w:val="3CBA5F8A"/>
    <w:lvl w:ilvl="0">
      <w:isLgl w:val="false"/>
      <w:lvlJc w:val="left"/>
      <w:lvlText w:val="%1)"/>
      <w:numFmt w:val="decimal"/>
      <w:pPr>
        <w:pBdr/>
        <w:spacing/>
        <w:ind w:hanging="360" w:left="12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20"/>
      </w:pPr>
      <w:rPr/>
      <w:start w:val="1"/>
      <w:suff w:val="tab"/>
    </w:lvl>
  </w:abstractNum>
  <w:abstractNum w:abstractNumId="18">
    <w:nsid w:val="3E783CF2"/>
    <w:lvl w:ilvl="0">
      <w:isLgl w:val="false"/>
      <w:lvlJc w:val="left"/>
      <w:lvlText w:val="%1)"/>
      <w:numFmt w:val="decimal"/>
      <w:pPr>
        <w:pBdr/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9">
    <w:nsid w:val="3F1433A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481632F4"/>
    <w:lvl w:ilvl="0">
      <w:isLgl w:val="false"/>
      <w:lvlJc w:val="left"/>
      <w:lvlText w:val="%1."/>
      <w:numFmt w:val="decimal"/>
      <w:pPr>
        <w:pBdr/>
        <w:spacing/>
        <w:ind w:hanging="810" w:left="117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1">
    <w:nsid w:val="4BA428D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nsid w:val="4D921259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3">
    <w:nsid w:val="4EA5611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4">
    <w:nsid w:val="5BBD208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</w:rPr>
      <w:start w:val="1"/>
      <w:suff w:val="tab"/>
    </w:lvl>
  </w:abstractNum>
  <w:abstractNum w:abstractNumId="25">
    <w:nsid w:val="60CB04B7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90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44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2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16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7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88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3420"/>
      </w:pPr>
      <w:rPr>
        <w:rFonts w:cs="Times New Roman"/>
      </w:rPr>
      <w:start w:val="1"/>
      <w:suff w:val="tab"/>
    </w:lvl>
  </w:abstractNum>
  <w:abstractNum w:abstractNumId="26">
    <w:nsid w:val="613F015F"/>
    <w:lvl w:ilvl="0">
      <w:isLgl w:val="false"/>
      <w:lvlJc w:val="left"/>
      <w:lvlText w:val="%1)"/>
      <w:numFmt w:val="decimal"/>
      <w:pPr>
        <w:pBdr/>
        <w:spacing/>
        <w:ind w:hanging="360" w:left="1259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7">
    <w:nsid w:val="63DA74E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8">
    <w:nsid w:val="6572150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66A0668D"/>
    <w:lvl w:ilvl="0">
      <w:isLgl w:val="false"/>
      <w:legacy w:legacy="true" w:legacyIndent="0" w:legacySpace="0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0">
    <w:nsid w:val="67F44B0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nsid w:val="68DB6A92"/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2">
    <w:nsid w:val="6CDD1D02"/>
    <w:lvl w:ilvl="0">
      <w:isLgl w:val="false"/>
      <w:lvlJc w:val="left"/>
      <w:lvlText w:val=""/>
      <w:numFmt w:val="bullet"/>
      <w:pPr>
        <w:pBdr/>
        <w:spacing/>
        <w:ind w:hanging="360" w:left="1259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7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9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1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3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5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7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9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19"/>
      </w:pPr>
      <w:rPr>
        <w:rFonts w:ascii="Wingdings" w:hAnsi="Wingdings"/>
      </w:rPr>
      <w:start w:val="1"/>
      <w:suff w:val="tab"/>
    </w:lvl>
  </w:abstractNum>
  <w:abstractNum w:abstractNumId="33">
    <w:nsid w:val="724C1EAC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4">
    <w:nsid w:val="798D62B8"/>
    <w:lvl w:ilvl="0">
      <w:isLgl w:val="false"/>
      <w:lvlJc w:val="left"/>
      <w:lvlText w:val="%1)"/>
      <w:numFmt w:val="decimal"/>
      <w:pPr>
        <w:pBdr/>
        <w:spacing/>
        <w:ind w:hanging="360" w:left="1259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7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9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1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3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5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7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9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19"/>
      </w:pPr>
      <w:rPr>
        <w:rFonts w:ascii="Wingdings" w:hAnsi="Wingdings"/>
      </w:rPr>
      <w:start w:val="1"/>
      <w:suff w:val="tab"/>
    </w:lvl>
  </w:abstractNum>
  <w:abstractNum w:abstractNumId="35">
    <w:nsid w:val="7C8A020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6">
    <w:nsid w:val="7E6F3A6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37">
    <w:nsid w:val="24B9F062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8">
    <w:nsid w:val="24B9F062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9">
    <w:nsid w:val="24B9F062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0">
    <w:nsid w:val="24B9F062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20"/>
  </w:num>
  <w:num w:numId="2">
    <w:abstractNumId w:val="0"/>
  </w:num>
  <w:num w:numId="3">
    <w:abstractNumId w:val="25"/>
  </w:num>
  <w:num w:numId="4">
    <w:abstractNumId w:val="23"/>
  </w:num>
  <w:num w:numId="5">
    <w:abstractNumId w:val="16"/>
  </w:num>
  <w:num w:numId="6">
    <w:abstractNumId w:val="13"/>
  </w:num>
  <w:num w:numId="7">
    <w:abstractNumId w:val="36"/>
  </w:num>
  <w:num w:numId="8">
    <w:abstractNumId w:val="4"/>
  </w:num>
  <w:num w:numId="9">
    <w:abstractNumId w:val="5"/>
  </w:num>
  <w:num w:numId="10">
    <w:abstractNumId w:val="29"/>
  </w:num>
  <w:num w:numId="11">
    <w:abstractNumId w:val="11"/>
  </w:num>
  <w:num w:numId="12">
    <w:abstractNumId w:val="22"/>
  </w:num>
  <w:num w:numId="13">
    <w:abstractNumId w:val="10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9"/>
  </w:num>
  <w:num w:numId="19">
    <w:abstractNumId w:val="19"/>
  </w:num>
  <w:num w:numId="20">
    <w:abstractNumId w:val="2"/>
  </w:num>
  <w:num w:numId="21">
    <w:abstractNumId w:val="30"/>
  </w:num>
  <w:num w:numId="22">
    <w:abstractNumId w:val="3"/>
  </w:num>
  <w:num w:numId="23">
    <w:abstractNumId w:val="21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7"/>
  </w:num>
  <w:num w:numId="27">
    <w:abstractNumId w:val="14"/>
  </w:num>
  <w:num w:numId="28">
    <w:abstractNumId w:val="32"/>
  </w:num>
  <w:num w:numId="29">
    <w:abstractNumId w:val="26"/>
  </w:num>
  <w:num w:numId="30">
    <w:abstractNumId w:val="27"/>
  </w:num>
  <w:num w:numId="31">
    <w:abstractNumId w:val="6"/>
  </w:num>
  <w:num w:numId="32">
    <w:abstractNumId w:val="15"/>
  </w:num>
  <w:num w:numId="33">
    <w:abstractNumId w:val="1"/>
  </w:num>
  <w:num w:numId="34">
    <w:abstractNumId w:val="28"/>
  </w:num>
  <w:num w:numId="35">
    <w:abstractNumId w:val="31"/>
  </w:num>
  <w:num w:numId="36">
    <w:abstractNumId w:val="33"/>
  </w:num>
  <w:num w:numId="37">
    <w:abstractNumId w:val="2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Table Grid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Table Grid Light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1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2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2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3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5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6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1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2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3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4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5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6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1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2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3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4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5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6"/>
    <w:basedOn w:val="8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Heading 1"/>
    <w:basedOn w:val="1004"/>
    <w:next w:val="1004"/>
    <w:link w:val="9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43">
    <w:name w:val="Heading 2"/>
    <w:basedOn w:val="1004"/>
    <w:next w:val="1004"/>
    <w:link w:val="9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44">
    <w:name w:val="Heading 3"/>
    <w:basedOn w:val="1004"/>
    <w:next w:val="1004"/>
    <w:link w:val="9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45">
    <w:name w:val="Heading 4"/>
    <w:basedOn w:val="1004"/>
    <w:next w:val="1004"/>
    <w:link w:val="9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46">
    <w:name w:val="Heading 5"/>
    <w:basedOn w:val="1004"/>
    <w:next w:val="1004"/>
    <w:link w:val="9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7">
    <w:name w:val="Heading 6"/>
    <w:basedOn w:val="1004"/>
    <w:next w:val="1004"/>
    <w:link w:val="9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8">
    <w:name w:val="Heading 7"/>
    <w:basedOn w:val="1004"/>
    <w:next w:val="1004"/>
    <w:link w:val="9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9">
    <w:name w:val="Heading 8"/>
    <w:basedOn w:val="1004"/>
    <w:next w:val="1004"/>
    <w:link w:val="9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0">
    <w:name w:val="Heading 9"/>
    <w:basedOn w:val="1004"/>
    <w:next w:val="1004"/>
    <w:link w:val="9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1" w:default="1">
    <w:name w:val="Default Paragraph Font"/>
    <w:uiPriority w:val="1"/>
    <w:semiHidden/>
    <w:unhideWhenUsed/>
    <w:pPr>
      <w:pBdr/>
      <w:spacing/>
      <w:ind/>
    </w:pPr>
  </w:style>
  <w:style w:type="numbering" w:styleId="952" w:default="1">
    <w:name w:val="No List"/>
    <w:uiPriority w:val="99"/>
    <w:semiHidden/>
    <w:unhideWhenUsed/>
    <w:pPr>
      <w:pBdr/>
      <w:spacing/>
      <w:ind/>
    </w:pPr>
  </w:style>
  <w:style w:type="character" w:styleId="953">
    <w:name w:val="Heading 1 Char"/>
    <w:basedOn w:val="951"/>
    <w:link w:val="9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4">
    <w:name w:val="Heading 2 Char"/>
    <w:basedOn w:val="951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5">
    <w:name w:val="Heading 3 Char"/>
    <w:basedOn w:val="951"/>
    <w:link w:val="9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6">
    <w:name w:val="Heading 4 Char"/>
    <w:basedOn w:val="951"/>
    <w:link w:val="9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7">
    <w:name w:val="Heading 5 Char"/>
    <w:basedOn w:val="951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8">
    <w:name w:val="Heading 6 Char"/>
    <w:basedOn w:val="951"/>
    <w:link w:val="9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9">
    <w:name w:val="Heading 7 Char"/>
    <w:basedOn w:val="951"/>
    <w:link w:val="9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0">
    <w:name w:val="Heading 8 Char"/>
    <w:basedOn w:val="951"/>
    <w:link w:val="9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1">
    <w:name w:val="Heading 9 Char"/>
    <w:basedOn w:val="951"/>
    <w:link w:val="9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2">
    <w:name w:val="Title"/>
    <w:basedOn w:val="1004"/>
    <w:next w:val="1004"/>
    <w:link w:val="9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3">
    <w:name w:val="Title Char"/>
    <w:basedOn w:val="951"/>
    <w:link w:val="9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4">
    <w:name w:val="Subtitle"/>
    <w:basedOn w:val="1004"/>
    <w:next w:val="1004"/>
    <w:link w:val="9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5">
    <w:name w:val="Subtitle Char"/>
    <w:basedOn w:val="951"/>
    <w:link w:val="9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6">
    <w:name w:val="Quote"/>
    <w:basedOn w:val="1004"/>
    <w:next w:val="1004"/>
    <w:link w:val="9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7">
    <w:name w:val="Quote Char"/>
    <w:basedOn w:val="951"/>
    <w:link w:val="9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8">
    <w:name w:val="List Paragraph"/>
    <w:basedOn w:val="1004"/>
    <w:uiPriority w:val="34"/>
    <w:qFormat/>
    <w:pPr>
      <w:pBdr/>
      <w:spacing/>
      <w:ind w:left="720"/>
      <w:contextualSpacing w:val="true"/>
    </w:pPr>
  </w:style>
  <w:style w:type="character" w:styleId="969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0">
    <w:name w:val="Intense Quote"/>
    <w:basedOn w:val="1004"/>
    <w:next w:val="1004"/>
    <w:link w:val="9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1">
    <w:name w:val="Intense Quote Char"/>
    <w:basedOn w:val="951"/>
    <w:link w:val="9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2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3">
    <w:name w:val="No Spacing"/>
    <w:basedOn w:val="1004"/>
    <w:uiPriority w:val="1"/>
    <w:qFormat/>
    <w:pPr>
      <w:pBdr/>
      <w:spacing w:after="0" w:line="240" w:lineRule="auto"/>
      <w:ind/>
    </w:pPr>
  </w:style>
  <w:style w:type="character" w:styleId="974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5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76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77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8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9">
    <w:name w:val="Header"/>
    <w:basedOn w:val="1004"/>
    <w:link w:val="9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0">
    <w:name w:val="Header Char"/>
    <w:basedOn w:val="951"/>
    <w:link w:val="979"/>
    <w:uiPriority w:val="99"/>
    <w:pPr>
      <w:pBdr/>
      <w:spacing/>
      <w:ind/>
    </w:pPr>
  </w:style>
  <w:style w:type="paragraph" w:styleId="981">
    <w:name w:val="Footer"/>
    <w:basedOn w:val="1004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2">
    <w:name w:val="Footer Char"/>
    <w:basedOn w:val="951"/>
    <w:link w:val="981"/>
    <w:uiPriority w:val="99"/>
    <w:pPr>
      <w:pBdr/>
      <w:spacing/>
      <w:ind/>
    </w:pPr>
  </w:style>
  <w:style w:type="paragraph" w:styleId="983">
    <w:name w:val="Caption"/>
    <w:basedOn w:val="1004"/>
    <w:next w:val="10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4">
    <w:name w:val="footnote text"/>
    <w:basedOn w:val="1004"/>
    <w:link w:val="9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5">
    <w:name w:val="Footnote Text Char"/>
    <w:basedOn w:val="951"/>
    <w:link w:val="984"/>
    <w:uiPriority w:val="99"/>
    <w:semiHidden/>
    <w:pPr>
      <w:pBdr/>
      <w:spacing/>
      <w:ind/>
    </w:pPr>
    <w:rPr>
      <w:sz w:val="20"/>
      <w:szCs w:val="20"/>
    </w:rPr>
  </w:style>
  <w:style w:type="character" w:styleId="986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87">
    <w:name w:val="endnote text"/>
    <w:basedOn w:val="1004"/>
    <w:link w:val="9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8">
    <w:name w:val="Endnote Text Char"/>
    <w:basedOn w:val="951"/>
    <w:link w:val="987"/>
    <w:uiPriority w:val="99"/>
    <w:semiHidden/>
    <w:pPr>
      <w:pBdr/>
      <w:spacing/>
      <w:ind/>
    </w:pPr>
    <w:rPr>
      <w:sz w:val="20"/>
      <w:szCs w:val="20"/>
    </w:rPr>
  </w:style>
  <w:style w:type="character" w:styleId="989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90">
    <w:name w:val="Hyperlink"/>
    <w:basedOn w:val="9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1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2">
    <w:name w:val="toc 1"/>
    <w:basedOn w:val="1004"/>
    <w:next w:val="1004"/>
    <w:uiPriority w:val="39"/>
    <w:unhideWhenUsed/>
    <w:pPr>
      <w:pBdr/>
      <w:spacing w:after="100"/>
      <w:ind/>
    </w:pPr>
  </w:style>
  <w:style w:type="paragraph" w:styleId="993">
    <w:name w:val="toc 2"/>
    <w:basedOn w:val="1004"/>
    <w:next w:val="1004"/>
    <w:uiPriority w:val="39"/>
    <w:unhideWhenUsed/>
    <w:pPr>
      <w:pBdr/>
      <w:spacing w:after="100"/>
      <w:ind w:left="220"/>
    </w:pPr>
  </w:style>
  <w:style w:type="paragraph" w:styleId="994">
    <w:name w:val="toc 3"/>
    <w:basedOn w:val="1004"/>
    <w:next w:val="1004"/>
    <w:uiPriority w:val="39"/>
    <w:unhideWhenUsed/>
    <w:pPr>
      <w:pBdr/>
      <w:spacing w:after="100"/>
      <w:ind w:left="440"/>
    </w:pPr>
  </w:style>
  <w:style w:type="paragraph" w:styleId="995">
    <w:name w:val="toc 4"/>
    <w:basedOn w:val="1004"/>
    <w:next w:val="1004"/>
    <w:uiPriority w:val="39"/>
    <w:unhideWhenUsed/>
    <w:pPr>
      <w:pBdr/>
      <w:spacing w:after="100"/>
      <w:ind w:left="660"/>
    </w:pPr>
  </w:style>
  <w:style w:type="paragraph" w:styleId="996">
    <w:name w:val="toc 5"/>
    <w:basedOn w:val="1004"/>
    <w:next w:val="1004"/>
    <w:uiPriority w:val="39"/>
    <w:unhideWhenUsed/>
    <w:pPr>
      <w:pBdr/>
      <w:spacing w:after="100"/>
      <w:ind w:left="880"/>
    </w:pPr>
  </w:style>
  <w:style w:type="paragraph" w:styleId="997">
    <w:name w:val="toc 6"/>
    <w:basedOn w:val="1004"/>
    <w:next w:val="1004"/>
    <w:uiPriority w:val="39"/>
    <w:unhideWhenUsed/>
    <w:pPr>
      <w:pBdr/>
      <w:spacing w:after="100"/>
      <w:ind w:left="1100"/>
    </w:pPr>
  </w:style>
  <w:style w:type="paragraph" w:styleId="998">
    <w:name w:val="toc 7"/>
    <w:basedOn w:val="1004"/>
    <w:next w:val="1004"/>
    <w:uiPriority w:val="39"/>
    <w:unhideWhenUsed/>
    <w:pPr>
      <w:pBdr/>
      <w:spacing w:after="100"/>
      <w:ind w:left="1320"/>
    </w:pPr>
  </w:style>
  <w:style w:type="paragraph" w:styleId="999">
    <w:name w:val="toc 8"/>
    <w:basedOn w:val="1004"/>
    <w:next w:val="1004"/>
    <w:uiPriority w:val="39"/>
    <w:unhideWhenUsed/>
    <w:pPr>
      <w:pBdr/>
      <w:spacing w:after="100"/>
      <w:ind w:left="1540"/>
    </w:pPr>
  </w:style>
  <w:style w:type="paragraph" w:styleId="1000">
    <w:name w:val="toc 9"/>
    <w:basedOn w:val="1004"/>
    <w:next w:val="1004"/>
    <w:uiPriority w:val="39"/>
    <w:unhideWhenUsed/>
    <w:pPr>
      <w:pBdr/>
      <w:spacing w:after="100"/>
      <w:ind w:left="1760"/>
    </w:pPr>
  </w:style>
  <w:style w:type="character" w:styleId="1001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1002">
    <w:name w:val="TOC Heading"/>
    <w:uiPriority w:val="39"/>
    <w:unhideWhenUsed/>
    <w:pPr>
      <w:pBdr/>
      <w:spacing/>
      <w:ind/>
    </w:pPr>
  </w:style>
  <w:style w:type="paragraph" w:styleId="1003">
    <w:name w:val="table of figures"/>
    <w:basedOn w:val="1004"/>
    <w:next w:val="1004"/>
    <w:uiPriority w:val="99"/>
    <w:unhideWhenUsed/>
    <w:pPr>
      <w:pBdr/>
      <w:spacing w:after="0" w:afterAutospacing="0"/>
      <w:ind/>
    </w:pPr>
  </w:style>
  <w:style w:type="paragraph" w:styleId="1004" w:default="1">
    <w:name w:val="Normal"/>
    <w:next w:val="1004"/>
    <w:link w:val="1004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1005">
    <w:name w:val="Основной шрифт абзаца"/>
    <w:next w:val="1005"/>
    <w:link w:val="1004"/>
    <w:uiPriority w:val="1"/>
    <w:semiHidden/>
    <w:unhideWhenUsed/>
    <w:pPr>
      <w:pBdr/>
      <w:spacing/>
      <w:ind/>
    </w:pPr>
  </w:style>
  <w:style w:type="table" w:styleId="1006">
    <w:name w:val="Обычная таблица"/>
    <w:next w:val="1006"/>
    <w:link w:val="1004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7">
    <w:name w:val="Нет списка"/>
    <w:next w:val="1007"/>
    <w:link w:val="1004"/>
    <w:uiPriority w:val="99"/>
    <w:semiHidden/>
    <w:unhideWhenUsed/>
    <w:pPr>
      <w:pBdr/>
      <w:spacing/>
      <w:ind/>
    </w:pPr>
  </w:style>
  <w:style w:type="paragraph" w:styleId="1008">
    <w:name w:val="ConsPlusNonformat"/>
    <w:next w:val="1008"/>
    <w:link w:val="1004"/>
    <w:uiPriority w:val="99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1009">
    <w:name w:val="ConsPlusTitle"/>
    <w:next w:val="1009"/>
    <w:link w:val="1004"/>
    <w:uiPriority w:val="99"/>
    <w:pPr>
      <w:widowControl w:val="false"/>
      <w:pBdr/>
      <w:spacing/>
      <w:ind/>
    </w:pPr>
    <w:rPr>
      <w:b/>
      <w:bCs/>
      <w:sz w:val="24"/>
      <w:szCs w:val="24"/>
      <w:lang w:val="ru-RU" w:eastAsia="ru-RU" w:bidi="ar-SA"/>
    </w:rPr>
  </w:style>
  <w:style w:type="paragraph" w:styleId="1010">
    <w:name w:val="Ñòèëü1"/>
    <w:basedOn w:val="1004"/>
    <w:next w:val="1010"/>
    <w:link w:val="1011"/>
    <w:uiPriority w:val="99"/>
    <w:pPr>
      <w:pBdr/>
      <w:spacing w:line="288" w:lineRule="auto"/>
      <w:ind/>
    </w:pPr>
    <w:rPr>
      <w:sz w:val="28"/>
      <w:szCs w:val="20"/>
    </w:rPr>
  </w:style>
  <w:style w:type="character" w:styleId="1011">
    <w:name w:val="Ñòèëü1 Знак"/>
    <w:next w:val="1011"/>
    <w:link w:val="1010"/>
    <w:uiPriority w:val="99"/>
    <w:pPr>
      <w:pBdr/>
      <w:spacing/>
      <w:ind/>
    </w:pPr>
    <w:rPr>
      <w:rFonts w:cs="Times New Roman"/>
      <w:sz w:val="28"/>
      <w:lang w:val="ru-RU" w:eastAsia="ru-RU" w:bidi="ar-SA"/>
    </w:rPr>
  </w:style>
  <w:style w:type="paragraph" w:styleId="1012">
    <w:name w:val="Текст выноски"/>
    <w:basedOn w:val="1004"/>
    <w:next w:val="1012"/>
    <w:link w:val="101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>
    <w:name w:val="Текст выноски Знак"/>
    <w:next w:val="1013"/>
    <w:link w:val="1012"/>
    <w:uiPriority w:val="99"/>
    <w:semiHidden/>
    <w:pPr>
      <w:pBdr/>
      <w:spacing/>
      <w:ind/>
    </w:pPr>
    <w:rPr>
      <w:sz w:val="0"/>
      <w:szCs w:val="0"/>
    </w:rPr>
  </w:style>
  <w:style w:type="paragraph" w:styleId="1014">
    <w:name w:val="Абзац списка"/>
    <w:basedOn w:val="1004"/>
    <w:next w:val="1014"/>
    <w:link w:val="1004"/>
    <w:uiPriority w:val="34"/>
    <w:qFormat/>
    <w:pPr>
      <w:pBdr/>
      <w:spacing/>
      <w:ind w:left="720"/>
      <w:contextualSpacing w:val="true"/>
    </w:pPr>
  </w:style>
  <w:style w:type="table" w:styleId="1015">
    <w:name w:val="Сетка таблицы"/>
    <w:basedOn w:val="1006"/>
    <w:next w:val="1015"/>
    <w:link w:val="1004"/>
    <w:uiPriority w:val="9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6">
    <w:name w:val="ConsPlusNormal"/>
    <w:next w:val="1016"/>
    <w:link w:val="1043"/>
    <w:pPr>
      <w:pBdr/>
      <w:spacing/>
      <w:ind w:firstLine="720"/>
    </w:pPr>
    <w:rPr>
      <w:rFonts w:ascii="Arial" w:hAnsi="Arial" w:eastAsia="Calibri" w:cs="Arial"/>
      <w:lang w:val="ru-RU" w:eastAsia="en-US" w:bidi="ar-SA"/>
    </w:rPr>
  </w:style>
  <w:style w:type="paragraph" w:styleId="1017">
    <w:name w:val="Style1"/>
    <w:basedOn w:val="1004"/>
    <w:next w:val="1017"/>
    <w:link w:val="1004"/>
    <w:uiPriority w:val="99"/>
    <w:pPr>
      <w:widowControl w:val="false"/>
      <w:pBdr/>
      <w:spacing w:line="326" w:lineRule="exact"/>
      <w:ind/>
    </w:pPr>
  </w:style>
  <w:style w:type="paragraph" w:styleId="1018">
    <w:name w:val="Style2"/>
    <w:basedOn w:val="1004"/>
    <w:next w:val="1018"/>
    <w:link w:val="1004"/>
    <w:uiPriority w:val="99"/>
    <w:pPr>
      <w:widowControl w:val="false"/>
      <w:pBdr/>
      <w:spacing/>
      <w:ind/>
    </w:pPr>
  </w:style>
  <w:style w:type="paragraph" w:styleId="1019">
    <w:name w:val="Style3"/>
    <w:basedOn w:val="1004"/>
    <w:next w:val="1019"/>
    <w:link w:val="1004"/>
    <w:uiPriority w:val="99"/>
    <w:pPr>
      <w:widowControl w:val="false"/>
      <w:pBdr/>
      <w:spacing w:line="336" w:lineRule="exact"/>
      <w:ind/>
      <w:jc w:val="both"/>
    </w:pPr>
  </w:style>
  <w:style w:type="paragraph" w:styleId="1020">
    <w:name w:val="Style5"/>
    <w:basedOn w:val="1004"/>
    <w:next w:val="1020"/>
    <w:link w:val="1004"/>
    <w:uiPriority w:val="99"/>
    <w:pPr>
      <w:widowControl w:val="false"/>
      <w:pBdr/>
      <w:spacing w:line="317" w:lineRule="exact"/>
      <w:ind/>
      <w:jc w:val="center"/>
    </w:pPr>
  </w:style>
  <w:style w:type="paragraph" w:styleId="1021">
    <w:name w:val="Style6"/>
    <w:basedOn w:val="1004"/>
    <w:next w:val="1021"/>
    <w:link w:val="1004"/>
    <w:uiPriority w:val="99"/>
    <w:pPr>
      <w:widowControl w:val="false"/>
      <w:pBdr/>
      <w:spacing w:line="254" w:lineRule="exact"/>
      <w:ind/>
      <w:jc w:val="both"/>
    </w:pPr>
  </w:style>
  <w:style w:type="paragraph" w:styleId="1022">
    <w:name w:val="Style7"/>
    <w:basedOn w:val="1004"/>
    <w:next w:val="1022"/>
    <w:link w:val="1004"/>
    <w:uiPriority w:val="99"/>
    <w:pPr>
      <w:widowControl w:val="false"/>
      <w:pBdr/>
      <w:spacing/>
      <w:ind/>
    </w:pPr>
  </w:style>
  <w:style w:type="paragraph" w:styleId="1023">
    <w:name w:val="Style8"/>
    <w:basedOn w:val="1004"/>
    <w:next w:val="1023"/>
    <w:link w:val="1004"/>
    <w:uiPriority w:val="99"/>
    <w:pPr>
      <w:widowControl w:val="false"/>
      <w:pBdr/>
      <w:spacing/>
      <w:ind/>
    </w:pPr>
  </w:style>
  <w:style w:type="paragraph" w:styleId="1024">
    <w:name w:val="Style9"/>
    <w:basedOn w:val="1004"/>
    <w:next w:val="1024"/>
    <w:link w:val="1004"/>
    <w:uiPriority w:val="99"/>
    <w:pPr>
      <w:widowControl w:val="false"/>
      <w:pBdr/>
      <w:spacing/>
      <w:ind/>
    </w:pPr>
  </w:style>
  <w:style w:type="character" w:styleId="1025">
    <w:name w:val="Font Style12"/>
    <w:next w:val="1025"/>
    <w:link w:val="1004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character" w:styleId="1026">
    <w:name w:val="Font Style13"/>
    <w:next w:val="1026"/>
    <w:link w:val="1004"/>
    <w:uiPriority w:val="99"/>
    <w:pPr>
      <w:pBdr/>
      <w:spacing/>
      <w:ind/>
    </w:pPr>
    <w:rPr>
      <w:rFonts w:ascii="Times New Roman" w:hAnsi="Times New Roman" w:cs="Times New Roman"/>
      <w:b/>
      <w:bCs/>
      <w:sz w:val="30"/>
      <w:szCs w:val="30"/>
    </w:rPr>
  </w:style>
  <w:style w:type="character" w:styleId="1027">
    <w:name w:val="Font Style14"/>
    <w:next w:val="1027"/>
    <w:link w:val="1004"/>
    <w:uiPriority w:val="99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character" w:styleId="1028">
    <w:name w:val="Font Style15"/>
    <w:next w:val="1028"/>
    <w:link w:val="1004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character" w:styleId="1029">
    <w:name w:val="Font Style16"/>
    <w:next w:val="1029"/>
    <w:link w:val="1004"/>
    <w:uiPriority w:val="99"/>
    <w:pPr>
      <w:pBdr/>
      <w:spacing/>
      <w:ind/>
    </w:pPr>
    <w:rPr>
      <w:rFonts w:ascii="Times New Roman" w:hAnsi="Times New Roman" w:cs="Times New Roman"/>
      <w:spacing w:val="-10"/>
      <w:sz w:val="38"/>
      <w:szCs w:val="38"/>
    </w:rPr>
  </w:style>
  <w:style w:type="paragraph" w:styleId="1030">
    <w:name w:val="Style4"/>
    <w:basedOn w:val="1004"/>
    <w:next w:val="1030"/>
    <w:link w:val="1004"/>
    <w:uiPriority w:val="99"/>
    <w:pPr>
      <w:widowControl w:val="false"/>
      <w:pBdr/>
      <w:spacing w:line="317" w:lineRule="exact"/>
      <w:ind/>
    </w:pPr>
  </w:style>
  <w:style w:type="character" w:styleId="1031">
    <w:name w:val="Font Style11"/>
    <w:next w:val="1031"/>
    <w:link w:val="1004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1032">
    <w:name w:val="Текст сноски"/>
    <w:basedOn w:val="1004"/>
    <w:next w:val="1032"/>
    <w:link w:val="1033"/>
    <w:uiPriority w:val="99"/>
    <w:semiHidden/>
    <w:unhideWhenUsed/>
    <w:pPr>
      <w:pBdr/>
      <w:spacing/>
      <w:ind/>
    </w:pPr>
    <w:rPr>
      <w:rFonts w:ascii="Calibri" w:hAnsi="Calibri"/>
      <w:sz w:val="20"/>
      <w:szCs w:val="20"/>
      <w:lang w:eastAsia="en-US"/>
    </w:rPr>
  </w:style>
  <w:style w:type="character" w:styleId="1033">
    <w:name w:val="Текст сноски Знак"/>
    <w:next w:val="1033"/>
    <w:link w:val="1032"/>
    <w:uiPriority w:val="99"/>
    <w:semiHidden/>
    <w:pPr>
      <w:pBdr/>
      <w:spacing/>
      <w:ind/>
    </w:pPr>
    <w:rPr>
      <w:rFonts w:ascii="Calibri" w:hAnsi="Calibri" w:cs="Times New Roman"/>
      <w:lang w:eastAsia="en-US"/>
    </w:rPr>
  </w:style>
  <w:style w:type="character" w:styleId="1034">
    <w:name w:val="Знак сноски"/>
    <w:next w:val="1034"/>
    <w:link w:val="1004"/>
    <w:uiPriority w:val="99"/>
    <w:semiHidden/>
    <w:unhideWhenUsed/>
    <w:pPr>
      <w:pBdr/>
      <w:spacing/>
      <w:ind/>
    </w:pPr>
    <w:rPr>
      <w:rFonts w:cs="Times New Roman"/>
      <w:vertAlign w:val="superscript"/>
    </w:rPr>
  </w:style>
  <w:style w:type="paragraph" w:styleId="1035">
    <w:name w:val="Верхний колонтитул"/>
    <w:basedOn w:val="1004"/>
    <w:next w:val="1035"/>
    <w:link w:val="103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36">
    <w:name w:val="Верхний колонтитул Знак"/>
    <w:next w:val="1036"/>
    <w:link w:val="1035"/>
    <w:uiPriority w:val="99"/>
    <w:pPr>
      <w:pBdr/>
      <w:spacing/>
      <w:ind/>
    </w:pPr>
    <w:rPr>
      <w:sz w:val="24"/>
      <w:szCs w:val="24"/>
    </w:rPr>
  </w:style>
  <w:style w:type="character" w:styleId="1037">
    <w:name w:val="Номер страницы"/>
    <w:next w:val="1037"/>
    <w:link w:val="1004"/>
    <w:uiPriority w:val="99"/>
    <w:pPr>
      <w:pBdr/>
      <w:spacing/>
      <w:ind/>
    </w:pPr>
    <w:rPr>
      <w:rFonts w:cs="Times New Roman"/>
    </w:rPr>
  </w:style>
  <w:style w:type="character" w:styleId="1038">
    <w:name w:val="Гиперссылка"/>
    <w:next w:val="1038"/>
    <w:link w:val="1004"/>
    <w:uiPriority w:val="99"/>
    <w:unhideWhenUsed/>
    <w:pPr>
      <w:pBdr/>
      <w:spacing/>
      <w:ind/>
    </w:pPr>
    <w:rPr>
      <w:color w:val="0000ff"/>
      <w:u w:val="single"/>
    </w:rPr>
  </w:style>
  <w:style w:type="character" w:styleId="1039">
    <w:name w:val="Строгий"/>
    <w:next w:val="1039"/>
    <w:link w:val="1004"/>
    <w:uiPriority w:val="22"/>
    <w:qFormat/>
    <w:pPr>
      <w:pBdr/>
      <w:spacing/>
      <w:ind/>
    </w:pPr>
    <w:rPr>
      <w:b/>
      <w:bCs/>
    </w:rPr>
  </w:style>
  <w:style w:type="paragraph" w:styleId="1040">
    <w:name w:val="Нижний колонтитул"/>
    <w:basedOn w:val="1004"/>
    <w:next w:val="1040"/>
    <w:link w:val="10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1">
    <w:name w:val="Нижний колонтитул Знак"/>
    <w:next w:val="1041"/>
    <w:link w:val="1040"/>
    <w:uiPriority w:val="99"/>
    <w:pPr>
      <w:pBdr/>
      <w:spacing/>
      <w:ind/>
    </w:pPr>
    <w:rPr>
      <w:sz w:val="24"/>
      <w:szCs w:val="24"/>
    </w:rPr>
  </w:style>
  <w:style w:type="paragraph" w:styleId="1042">
    <w:name w:val="Default"/>
    <w:next w:val="1042"/>
    <w:link w:val="1004"/>
    <w:uiPriority w:val="99"/>
    <w:pPr>
      <w:pBdr/>
      <w:spacing/>
      <w:ind/>
    </w:pPr>
    <w:rPr>
      <w:color w:val="000000"/>
      <w:sz w:val="24"/>
      <w:szCs w:val="24"/>
      <w:lang w:val="ru-RU" w:eastAsia="ru-RU" w:bidi="ar-SA"/>
    </w:rPr>
  </w:style>
  <w:style w:type="character" w:styleId="1043">
    <w:name w:val="ConsPlusNormal Знак"/>
    <w:next w:val="1043"/>
    <w:link w:val="1016"/>
    <w:pPr>
      <w:pBdr/>
      <w:spacing/>
      <w:ind/>
    </w:pPr>
    <w:rPr>
      <w:rFonts w:ascii="Arial" w:hAnsi="Arial" w:eastAsia="Calibri" w:cs="Arial"/>
      <w:lang w:eastAsia="en-US"/>
    </w:rPr>
  </w:style>
  <w:style w:type="character" w:styleId="1044">
    <w:name w:val="Гипертекстовая ссылка"/>
    <w:next w:val="1044"/>
    <w:link w:val="1004"/>
    <w:uiPriority w:val="99"/>
    <w:pPr>
      <w:pBdr/>
      <w:spacing/>
      <w:ind/>
    </w:pPr>
    <w:rPr>
      <w:color w:val="106bbe"/>
    </w:rPr>
  </w:style>
  <w:style w:type="paragraph" w:styleId="1045">
    <w:name w:val="Нормальный (таблица)"/>
    <w:basedOn w:val="1004"/>
    <w:next w:val="1004"/>
    <w:link w:val="1004"/>
    <w:uiPriority w:val="99"/>
    <w:pPr>
      <w:widowControl w:val="false"/>
      <w:pBdr/>
      <w:spacing/>
      <w:ind/>
      <w:jc w:val="both"/>
    </w:pPr>
    <w:rPr>
      <w:rFonts w:ascii="Arial" w:hAnsi="Arial" w:cs="Arial"/>
    </w:rPr>
  </w:style>
  <w:style w:type="paragraph" w:styleId="1046">
    <w:name w:val="Прижатый влево"/>
    <w:basedOn w:val="1004"/>
    <w:next w:val="1004"/>
    <w:link w:val="1004"/>
    <w:uiPriority w:val="99"/>
    <w:pPr>
      <w:widowControl w:val="false"/>
      <w:pBdr/>
      <w:spacing/>
      <w:ind/>
    </w:pPr>
    <w:rPr>
      <w:rFonts w:ascii="Arial" w:hAnsi="Arial" w:cs="Arial"/>
    </w:rPr>
  </w:style>
  <w:style w:type="character" w:styleId="1047">
    <w:name w:val="Знак примечания"/>
    <w:next w:val="1047"/>
    <w:link w:val="100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48">
    <w:name w:val="Текст примечания"/>
    <w:basedOn w:val="1004"/>
    <w:next w:val="1048"/>
    <w:link w:val="104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49">
    <w:name w:val="Текст примечания Знак"/>
    <w:basedOn w:val="1005"/>
    <w:next w:val="1049"/>
    <w:link w:val="1048"/>
    <w:uiPriority w:val="99"/>
    <w:semiHidden/>
    <w:pPr>
      <w:pBdr/>
      <w:spacing/>
      <w:ind/>
    </w:pPr>
  </w:style>
  <w:style w:type="paragraph" w:styleId="1050">
    <w:name w:val="Тема примечания"/>
    <w:basedOn w:val="1048"/>
    <w:next w:val="1048"/>
    <w:link w:val="1051"/>
    <w:uiPriority w:val="99"/>
    <w:semiHidden/>
    <w:unhideWhenUsed/>
    <w:pPr>
      <w:pBdr/>
      <w:spacing/>
      <w:ind/>
    </w:pPr>
    <w:rPr>
      <w:b/>
      <w:bCs/>
    </w:rPr>
  </w:style>
  <w:style w:type="character" w:styleId="1051">
    <w:name w:val="Тема примечания Знак"/>
    <w:next w:val="1051"/>
    <w:link w:val="1050"/>
    <w:uiPriority w:val="99"/>
    <w:semiHidden/>
    <w:pPr>
      <w:pBdr/>
      <w:spacing/>
      <w:ind/>
    </w:pPr>
    <w:rPr>
      <w:b/>
      <w:bCs/>
    </w:rPr>
  </w:style>
  <w:style w:type="paragraph" w:styleId="1052">
    <w:name w:val="Рецензия"/>
    <w:next w:val="1052"/>
    <w:link w:val="1004"/>
    <w:hidden/>
    <w:uiPriority w:val="99"/>
    <w:semiHidden/>
    <w:pPr>
      <w:pBdr/>
      <w:spacing/>
      <w:ind/>
    </w:pPr>
    <w:rPr>
      <w:sz w:val="24"/>
      <w:szCs w:val="24"/>
      <w:lang w:val="ru-RU" w:eastAsia="ru-RU" w:bidi="ar-SA"/>
    </w:rPr>
  </w:style>
  <w:style w:type="paragraph" w:styleId="1053">
    <w:name w:val="ConsPlusCell"/>
    <w:next w:val="1053"/>
    <w:link w:val="1004"/>
    <w:uiPriority w:val="99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1054">
    <w:name w:val="ConsPlusDocList"/>
    <w:next w:val="1054"/>
    <w:link w:val="1004"/>
    <w:uiPriority w:val="99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1055">
    <w:name w:val="ConsPlusTitlePage"/>
    <w:next w:val="1055"/>
    <w:link w:val="1004"/>
    <w:uiPriority w:val="99"/>
    <w:pPr>
      <w:widowControl w:val="false"/>
      <w:pBdr/>
      <w:spacing/>
      <w:ind/>
    </w:pPr>
    <w:rPr>
      <w:rFonts w:ascii="Tahoma" w:hAnsi="Tahoma" w:cs="Tahoma"/>
      <w:lang w:val="ru-RU" w:eastAsia="ru-RU" w:bidi="ar-SA"/>
    </w:rPr>
  </w:style>
  <w:style w:type="paragraph" w:styleId="1056">
    <w:name w:val="ConsPlusJurTerm"/>
    <w:next w:val="1056"/>
    <w:link w:val="1004"/>
    <w:uiPriority w:val="99"/>
    <w:pPr>
      <w:widowControl w:val="false"/>
      <w:pBdr/>
      <w:spacing/>
      <w:ind/>
    </w:pPr>
    <w:rPr>
      <w:rFonts w:ascii="Tahoma" w:hAnsi="Tahoma" w:cs="Tahoma"/>
      <w:sz w:val="26"/>
      <w:szCs w:val="26"/>
      <w:lang w:val="ru-RU" w:eastAsia="ru-RU" w:bidi="ar-SA"/>
    </w:rPr>
  </w:style>
  <w:style w:type="paragraph" w:styleId="1057">
    <w:name w:val="ConsPlusTextList"/>
    <w:next w:val="1057"/>
    <w:link w:val="1004"/>
    <w:uiPriority w:val="99"/>
    <w:pPr>
      <w:widowControl w:val="false"/>
      <w:pBdr/>
      <w:spacing/>
      <w:ind/>
    </w:pPr>
    <w:rPr>
      <w:rFonts w:ascii="Arial" w:hAnsi="Arial" w:cs="Arial"/>
      <w:lang w:val="ru-RU" w:eastAsia="ru-RU" w:bidi="ar-SA"/>
    </w:rPr>
  </w:style>
  <w:style w:type="paragraph" w:styleId="1058">
    <w:name w:val="ConsPlusTextList1"/>
    <w:next w:val="1058"/>
    <w:link w:val="1004"/>
    <w:uiPriority w:val="99"/>
    <w:pPr>
      <w:widowControl w:val="false"/>
      <w:pBdr/>
      <w:spacing/>
      <w:ind/>
    </w:pPr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minnikaeva</dc:creator>
  <cp:revision>14</cp:revision>
  <dcterms:created xsi:type="dcterms:W3CDTF">2023-08-29T09:23:00Z</dcterms:created>
  <dcterms:modified xsi:type="dcterms:W3CDTF">2026-01-29T11:35:56Z</dcterms:modified>
  <cp:version>1048576</cp:version>
</cp:coreProperties>
</file>