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12" w:rsidRDefault="003F2512">
      <w:pPr>
        <w:spacing w:line="264" w:lineRule="auto"/>
        <w:ind w:right="-1"/>
        <w:rPr>
          <w:sz w:val="28"/>
          <w:szCs w:val="28"/>
        </w:rPr>
      </w:pP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3F2512">
        <w:trPr>
          <w:trHeight w:val="1842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3F2512" w:rsidRDefault="003F2512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3F2512" w:rsidRDefault="003F2512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3F2512" w:rsidRDefault="003F2512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/>
              </w:rPr>
            </w:pPr>
          </w:p>
          <w:p w:rsidR="003F2512" w:rsidRDefault="003F2512">
            <w:pPr>
              <w:spacing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:rsidR="003F2512" w:rsidRDefault="003F2512">
            <w:pPr>
              <w:spacing w:line="220" w:lineRule="exact"/>
              <w:ind w:left="57" w:right="57"/>
              <w:jc w:val="center"/>
              <w:rPr>
                <w:sz w:val="20"/>
                <w:szCs w:val="20"/>
              </w:rPr>
            </w:pPr>
          </w:p>
          <w:p w:rsidR="003F2512" w:rsidRDefault="003F2512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3F2512" w:rsidRDefault="003F2512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3F2512" w:rsidRDefault="003F2512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3F2512" w:rsidRDefault="003F2512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3F2512" w:rsidRDefault="003F2512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3F2512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2512" w:rsidRDefault="00C278F4">
            <w:pPr>
              <w:spacing w:line="22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3F2512" w:rsidRDefault="00C278F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:rsidR="003F2512" w:rsidRDefault="003F2512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3F2512" w:rsidRDefault="00C278F4">
            <w:pPr>
              <w:spacing w:line="300" w:lineRule="exact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</w:t>
            </w:r>
            <w:r>
              <w:rPr>
                <w:szCs w:val="28"/>
              </w:rPr>
              <w:t>г. Казань</w:t>
            </w:r>
            <w:r>
              <w:rPr>
                <w:sz w:val="22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3F2512" w:rsidRDefault="00C278F4">
      <w:pPr>
        <w:spacing w:line="264" w:lineRule="auto"/>
        <w:ind w:right="-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-1855469</wp:posOffset>
            </wp:positionV>
            <wp:extent cx="720090" cy="720090"/>
            <wp:effectExtent l="0" t="0" r="0" b="0"/>
            <wp:wrapNone/>
            <wp:docPr id="1" name="_x0000_s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60326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0"/>
                        </a:ext>
                      </a:extLst>
                    </a:blip>
                    <a:srcRect l="330" t="397" r="495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-1852294</wp:posOffset>
                </wp:positionV>
                <wp:extent cx="2908935" cy="713105"/>
                <wp:effectExtent l="0" t="0" r="0" b="0"/>
                <wp:wrapNone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4" cy="713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2512" w:rsidRDefault="00C278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3F2512" w:rsidRDefault="003F2512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o:spid="_x0000_s1026" type="#_x0000_t202" style="position:absolute;margin-left:-19.65pt;margin-top:-145.85pt;width:229.05pt;height:56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" filled="f" stroked="f" strokeweight=".5pt">
                <v:textbox>
                  <w:txbxContent>
                    <w:p w:rsidR="003F2512" w:rsidRDefault="00C278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3F2512" w:rsidRDefault="003F251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-1862454</wp:posOffset>
                </wp:positionV>
                <wp:extent cx="3016250" cy="664210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16249" cy="664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2512" w:rsidRDefault="00C278F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3F2512" w:rsidRDefault="00C278F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3F2512" w:rsidRDefault="003F2512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31" o:spid="_x0000_s1027" type="#_x0000_t202" style="position:absolute;margin-left:266.45pt;margin-top:-146.65pt;width:237.5pt;height:52.3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" filled="f" stroked="f" strokeweight=".5pt">
                <v:textbox>
                  <w:txbxContent>
                    <w:p w:rsidR="003F2512" w:rsidRDefault="00C278F4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3F2512" w:rsidRDefault="00C278F4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  <w:p w:rsidR="003F2512" w:rsidRDefault="003F2512"/>
                  </w:txbxContent>
                </v:textbox>
              </v:shape>
            </w:pict>
          </mc:Fallback>
        </mc:AlternateContent>
      </w:r>
    </w:p>
    <w:tbl>
      <w:tblPr>
        <w:tblW w:w="10281" w:type="dxa"/>
        <w:tblLayout w:type="fixed"/>
        <w:tblLook w:val="04A0" w:firstRow="1" w:lastRow="0" w:firstColumn="1" w:lastColumn="0" w:noHBand="0" w:noVBand="1"/>
      </w:tblPr>
      <w:tblGrid>
        <w:gridCol w:w="5158"/>
        <w:gridCol w:w="5123"/>
      </w:tblGrid>
      <w:tr w:rsidR="003F2512">
        <w:trPr>
          <w:trHeight w:val="1201"/>
        </w:trPr>
        <w:tc>
          <w:tcPr>
            <w:tcW w:w="5157" w:type="dxa"/>
            <w:shd w:val="clear" w:color="auto" w:fill="auto"/>
          </w:tcPr>
          <w:p w:rsidR="003F2512" w:rsidRDefault="00C278F4">
            <w:pPr>
              <w:widowControl w:val="0"/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утратившими силу отдельных приказов Министерства образования и науки Республики Татарстан</w:t>
            </w:r>
          </w:p>
        </w:tc>
        <w:tc>
          <w:tcPr>
            <w:tcW w:w="5123" w:type="dxa"/>
            <w:shd w:val="clear" w:color="auto" w:fill="auto"/>
          </w:tcPr>
          <w:p w:rsidR="003F2512" w:rsidRDefault="003F2512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</w:tc>
      </w:tr>
    </w:tbl>
    <w:p w:rsidR="003F2512" w:rsidRDefault="003F2512">
      <w:pPr>
        <w:spacing w:line="264" w:lineRule="auto"/>
        <w:ind w:right="-1"/>
        <w:rPr>
          <w:sz w:val="28"/>
          <w:szCs w:val="28"/>
        </w:rPr>
      </w:pPr>
    </w:p>
    <w:p w:rsidR="003F2512" w:rsidRDefault="00C278F4">
      <w:pPr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3F2512" w:rsidRDefault="003F2512">
      <w:pPr>
        <w:spacing w:line="264" w:lineRule="auto"/>
        <w:ind w:firstLine="709"/>
        <w:jc w:val="both"/>
        <w:rPr>
          <w:sz w:val="28"/>
          <w:szCs w:val="28"/>
        </w:rPr>
      </w:pPr>
    </w:p>
    <w:p w:rsidR="003F2512" w:rsidRDefault="00C278F4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приказы Министерства образования и науки Республики Татарстан: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26.02.2025 № под-319/25 «Об утверждении Порядка определения объема и условий предоставления государственному автономному образовательному учреждению «Гума</w:t>
      </w:r>
      <w:r>
        <w:rPr>
          <w:sz w:val="28"/>
          <w:szCs w:val="28"/>
        </w:rPr>
        <w:t xml:space="preserve">нитарная гимназия-интернат для одаренных детей»,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</w:t>
      </w:r>
      <w:r>
        <w:rPr>
          <w:sz w:val="28"/>
          <w:szCs w:val="28"/>
        </w:rPr>
        <w:t xml:space="preserve">обеспечение расходов, связанных с организацией и проведением межрегиональных профильных смен в речевом лагере для учащихся школ с родным языком обучения и воскресных многонациональных школ,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</w:t>
      </w:r>
      <w:r>
        <w:rPr>
          <w:sz w:val="28"/>
          <w:szCs w:val="28"/>
        </w:rPr>
        <w:t>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05.02.2025 № под-160/25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</w:t>
      </w:r>
      <w:r>
        <w:rPr>
          <w:sz w:val="28"/>
          <w:szCs w:val="28"/>
        </w:rPr>
        <w:t xml:space="preserve">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</w:t>
      </w:r>
      <w:r>
        <w:rPr>
          <w:sz w:val="28"/>
          <w:szCs w:val="28"/>
        </w:rPr>
        <w:t xml:space="preserve">анных с образовательным проектом «Яндекс.Лицей» в Республике Татарстан,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hyperlink r:id="rId11" w:tooltip="https://pravo.tatarstan.ru/oiv/min/mon/?npa_id=1578311" w:history="1">
        <w:r>
          <w:rPr>
            <w:sz w:val="28"/>
            <w:szCs w:val="28"/>
          </w:rPr>
          <w:t>т 23.12.2024 № под-2147/24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</w:t>
        </w:r>
        <w:r>
          <w:rPr>
            <w:sz w:val="28"/>
            <w:szCs w:val="28"/>
          </w:rPr>
          <w:t>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</w:t>
        </w:r>
        <w:r>
          <w:rPr>
            <w:sz w:val="28"/>
            <w:szCs w:val="28"/>
          </w:rPr>
          <w:t>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«История тюркских народов», «История, экономика и культура тюркских народов», «Политика и экономика</w:t>
        </w:r>
        <w:r>
          <w:rPr>
            <w:sz w:val="28"/>
            <w:szCs w:val="28"/>
          </w:rPr>
          <w:t xml:space="preserve"> тюркских народов», «История искусств тюркско-мусульманского мира», «Педагогическое образование в 2025/2026 учебном году, в соответствии с абзацем вторым пункта 1 статьи </w:t>
        </w:r>
        <w:r>
          <w:rPr>
            <w:sz w:val="28"/>
            <w:szCs w:val="28"/>
            <w:highlight w:val="white"/>
          </w:rPr>
          <w:t>78</w:t>
        </w:r>
        <w:r>
          <w:rPr>
            <w:sz w:val="28"/>
            <w:szCs w:val="28"/>
            <w:highlight w:val="white"/>
            <w:vertAlign w:val="superscript"/>
          </w:rPr>
          <w:t>1</w:t>
        </w:r>
        <w:r>
          <w:rPr>
            <w:sz w:val="28"/>
            <w:szCs w:val="28"/>
          </w:rPr>
          <w:t xml:space="preserve"> Бюджетного кодекса Российской Федерации»</w:t>
        </w:r>
      </w:hyperlink>
      <w:r>
        <w:rPr>
          <w:sz w:val="28"/>
          <w:szCs w:val="28"/>
        </w:rPr>
        <w:t>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24.12.2024 № под-2173/24 «Об утвержде</w:t>
      </w:r>
      <w:r>
        <w:rPr>
          <w:sz w:val="28"/>
          <w:szCs w:val="28"/>
        </w:rPr>
        <w:t>нии Порядка определения объема и условий предоставления государственному автономному образовательному учреждению «Республиканский олимпиадный центр», в отношении которого Министерство образования и науки Республики Татарстан осуществляет функции и полномоч</w:t>
      </w:r>
      <w:r>
        <w:rPr>
          <w:sz w:val="28"/>
          <w:szCs w:val="28"/>
        </w:rPr>
        <w:t>ия главного распорядителя бюджетных средств, субсидии из бюджета Республики Татарстан на финансовое обеспечение расходов, связанных с организацией оплаты разработчикам заданий школьного, муниципального этапа республиканской и всероссийской олимпиад школьни</w:t>
      </w:r>
      <w:r>
        <w:rPr>
          <w:sz w:val="28"/>
          <w:szCs w:val="28"/>
        </w:rPr>
        <w:t xml:space="preserve">ков, заключительного этапа республиканской олимпиады школьников среди 4-8, 4-11 классов, «Путь к Олимпу», «Служу Отчизне! Служу народу!»,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24.12.2024 № под-2172</w:t>
      </w:r>
      <w:r>
        <w:rPr>
          <w:sz w:val="28"/>
          <w:szCs w:val="28"/>
        </w:rPr>
        <w:t>/24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</w:t>
      </w:r>
      <w:r>
        <w:rPr>
          <w:sz w:val="28"/>
          <w:szCs w:val="28"/>
        </w:rPr>
        <w:t>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организацией обучения одаренных детей в обр</w:t>
      </w:r>
      <w:r>
        <w:rPr>
          <w:sz w:val="28"/>
          <w:szCs w:val="28"/>
        </w:rPr>
        <w:t xml:space="preserve">азовательной организации, реализующей программу общего образования с углубленным изучением предметов химико-технологического профиля,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24.12.2024 № под-2171/24 </w:t>
      </w:r>
      <w:r>
        <w:rPr>
          <w:sz w:val="28"/>
          <w:szCs w:val="28"/>
        </w:rPr>
        <w:t>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</w:t>
      </w:r>
      <w:r>
        <w:rPr>
          <w:sz w:val="28"/>
          <w:szCs w:val="28"/>
        </w:rPr>
        <w:t>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организацией обучения одаренных детей в образов</w:t>
      </w:r>
      <w:r>
        <w:rPr>
          <w:sz w:val="28"/>
          <w:szCs w:val="28"/>
        </w:rPr>
        <w:t xml:space="preserve">ательной организации, реализующей программу общего образования с углубленным изучением предметов физико-математического и информационно-технологического профилей,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19.12.2024 № под-2124/24 «Об утверждении Порядка определения объема и условий предоставления из бюджета Республики Татарстан государственному автономному образовательному учреждению дополнительного профессионального образования «Институт развития образ</w:t>
      </w:r>
      <w:r>
        <w:rPr>
          <w:sz w:val="28"/>
          <w:szCs w:val="28"/>
        </w:rPr>
        <w:t>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проведение повышения квалификации педагогических и управленче</w:t>
      </w:r>
      <w:r>
        <w:rPr>
          <w:sz w:val="28"/>
          <w:szCs w:val="28"/>
        </w:rPr>
        <w:t>ских кадров, в том числе обеспечение роста квалификации мастеров производственного обучения и других категорий педагогических работников в рамках комплекса процессных мероприятий «Укрепление кадрового потенциала и модернизация системы повышения профессиона</w:t>
      </w:r>
      <w:r>
        <w:rPr>
          <w:sz w:val="28"/>
          <w:szCs w:val="28"/>
        </w:rPr>
        <w:t xml:space="preserve">льного уровня педагогических, управленческих кадров» государственной программы «Развитие образования в Республике Татарстан»,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05.12.2024 № под-2034/24 «Об утве</w:t>
      </w:r>
      <w:r>
        <w:rPr>
          <w:sz w:val="28"/>
          <w:szCs w:val="28"/>
        </w:rPr>
        <w:t>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</w:t>
      </w:r>
      <w:r>
        <w:rPr>
          <w:sz w:val="28"/>
          <w:szCs w:val="28"/>
        </w:rPr>
        <w:t xml:space="preserve">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социально значимого проекта по организации обучения специалистов системы </w:t>
      </w:r>
      <w:r>
        <w:rPr>
          <w:sz w:val="28"/>
          <w:szCs w:val="28"/>
        </w:rPr>
        <w:t>образования Республики Татарстан по направлениям подготовки высшего образования «История тюркских народов», «История искусств тюрко-мусульманского мира», «История, экономика и культура тюркских народов», «Политика и экономика тюркских народов», «Этническая</w:t>
      </w:r>
      <w:r>
        <w:rPr>
          <w:sz w:val="28"/>
          <w:szCs w:val="28"/>
        </w:rPr>
        <w:t xml:space="preserve"> история народов Урала и Поволжья», «Педагогическое образование» в 2024/2025 учебном году,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20.10.2023 № под-1855/23 «Об утверждении Порядка определения объема </w:t>
      </w:r>
      <w:r>
        <w:rPr>
          <w:sz w:val="28"/>
          <w:szCs w:val="28"/>
        </w:rPr>
        <w:t>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учредителя, субсидии на финансовое обеспечение рас</w:t>
      </w:r>
      <w:r>
        <w:rPr>
          <w:sz w:val="28"/>
          <w:szCs w:val="28"/>
        </w:rPr>
        <w:t>ходов, связанных с развитием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 и организаций, действующих в реальном секторе эконо</w:t>
      </w:r>
      <w:r>
        <w:rPr>
          <w:sz w:val="28"/>
          <w:szCs w:val="28"/>
        </w:rPr>
        <w:t xml:space="preserve">мики,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07.09.2023 № под-1556/23 «Об утверждении Порядка определения объема </w:t>
      </w:r>
      <w:r>
        <w:rPr>
          <w:sz w:val="28"/>
          <w:szCs w:val="28"/>
        </w:rPr>
        <w:t>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</w:t>
      </w:r>
      <w:r>
        <w:rPr>
          <w:sz w:val="28"/>
          <w:szCs w:val="28"/>
        </w:rPr>
        <w:t xml:space="preserve"> осуществляет функции и полномочия учредителя, субсидии из бюджета Республики Татарстан на финансовое обеспечение расходов, связанных с реализацией программы обучения «Современные подходы к управлению сельскими поселениями» для глав сельских поселений муни</w:t>
      </w:r>
      <w:r>
        <w:rPr>
          <w:sz w:val="28"/>
          <w:szCs w:val="28"/>
        </w:rPr>
        <w:t>ципальных районов Республики Татарстан»;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04.09.2023 № под-1542/23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</w:t>
      </w:r>
      <w:r>
        <w:rPr>
          <w:sz w:val="28"/>
          <w:szCs w:val="28"/>
        </w:rPr>
        <w:t>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оплату расходов, связанных с организацией обучения 15</w:t>
      </w:r>
      <w:r>
        <w:rPr>
          <w:sz w:val="28"/>
          <w:szCs w:val="28"/>
        </w:rPr>
        <w:t xml:space="preserve"> студентов по направлению подготовки «Реклама и связи с общественностью. Копирайтинг и бренд-коммуникации»,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22.08.2023 № под-1477/23 «Об утверждении Порядка оп</w:t>
      </w:r>
      <w:r>
        <w:rPr>
          <w:sz w:val="28"/>
          <w:szCs w:val="28"/>
        </w:rPr>
        <w:t>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</w:t>
      </w:r>
      <w:r>
        <w:rPr>
          <w:sz w:val="28"/>
          <w:szCs w:val="28"/>
        </w:rPr>
        <w:t>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проведением централизованного практико-ориентированного обучения государственных гражданских служащих Р</w:t>
      </w:r>
      <w:r>
        <w:rPr>
          <w:sz w:val="28"/>
          <w:szCs w:val="28"/>
        </w:rPr>
        <w:t xml:space="preserve">еспублики Татарстан и муниципальных служащих в Республике Татарстан в сфере реализации проектов государственно-частного партнерства,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31.05.2023 № под-1106/23 «</w:t>
      </w:r>
      <w:r>
        <w:rPr>
          <w:sz w:val="28"/>
          <w:szCs w:val="28"/>
        </w:rPr>
        <w:t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</w:t>
      </w:r>
      <w:r>
        <w:rPr>
          <w:sz w:val="28"/>
          <w:szCs w:val="28"/>
        </w:rPr>
        <w:t>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подготовкой кадров по специальностям «Физическая культура», «Адаптивная физиче</w:t>
      </w:r>
      <w:r>
        <w:rPr>
          <w:sz w:val="28"/>
          <w:szCs w:val="28"/>
        </w:rPr>
        <w:t xml:space="preserve">ская культура» (25 человек),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hyperlink r:id="rId12" w:tooltip="https://pravo.tatarstan.ru/oiv/min/mon/?npa_id=1219206" w:history="1">
        <w:r>
          <w:rPr>
            <w:sz w:val="28"/>
            <w:szCs w:val="28"/>
          </w:rPr>
          <w:t>т</w:t>
        </w:r>
        <w:r>
          <w:rPr>
            <w:sz w:val="28"/>
            <w:szCs w:val="28"/>
          </w:rPr>
          <w:t xml:space="preserve"> 31.05.2023 № под-1104/23 «Об утверждении Порядка определения объема и условий предоставления государственным бюджетным общеобразовательным учреждениям, в отношении которых Министерство образования и науки Республики Татарстан осуществляет функции и полном</w:t>
        </w:r>
        <w:r>
          <w:rPr>
            <w:sz w:val="28"/>
            <w:szCs w:val="28"/>
          </w:rPr>
          <w:t>очия учредителя, субсидии из бюджета Республики Татарстан на финансовое обеспечение расходов, связанных с организацией и проведением профильных смен на базе государственных бюджетных общеобразовательных учреждений для обучающихся, осваивающих дополнительны</w:t>
        </w:r>
        <w:r>
          <w:rPr>
            <w:sz w:val="28"/>
            <w:szCs w:val="28"/>
          </w:rPr>
          <w:t>е общеобразовательные программы в соответствии с подпрограммой «Организация отдыха детей и молодежи на 2019-2025 годы» государственной программы «Развитие молодежной политики в Республике Татарстан на 2019-2025 годы», утвержденной постановлением Кабинета М</w:t>
        </w:r>
        <w:r>
          <w:rPr>
            <w:sz w:val="28"/>
            <w:szCs w:val="28"/>
          </w:rPr>
          <w:t xml:space="preserve">инистров Республики Татарстан от 05.03.2019 № 158, и в соответствии с абзацем вторым пункта 1 статьи </w:t>
        </w:r>
        <w:r>
          <w:rPr>
            <w:sz w:val="28"/>
            <w:szCs w:val="28"/>
            <w:highlight w:val="white"/>
          </w:rPr>
          <w:t>78</w:t>
        </w:r>
        <w:r>
          <w:rPr>
            <w:sz w:val="28"/>
            <w:szCs w:val="28"/>
            <w:highlight w:val="white"/>
            <w:vertAlign w:val="superscript"/>
          </w:rPr>
          <w:t>1</w:t>
        </w:r>
        <w:r>
          <w:rPr>
            <w:sz w:val="28"/>
            <w:szCs w:val="28"/>
          </w:rPr>
          <w:t xml:space="preserve"> Бюджетного кодекса Российской Федерации»</w:t>
        </w:r>
      </w:hyperlink>
      <w:r>
        <w:rPr>
          <w:sz w:val="28"/>
          <w:szCs w:val="28"/>
        </w:rPr>
        <w:t>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29.05.2023 № под-1085/23 «Об утверждении Порядка определения объема и условий предоставления государственн</w:t>
      </w:r>
      <w:r>
        <w:rPr>
          <w:sz w:val="28"/>
          <w:szCs w:val="28"/>
        </w:rPr>
        <w:t>ому автономному общеобразовательному учреждению «Гуманитарная гимназия-интернат для одаренных детей»,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</w:t>
      </w:r>
      <w:r>
        <w:rPr>
          <w:sz w:val="28"/>
          <w:szCs w:val="28"/>
        </w:rPr>
        <w:t>тарстан на обеспечение реализации в 2023 году пункта 4.26 государственной программы «Сохранение, изучение и развитие государственных языков Республики Татарстан и других языков в Республике Татарстан на 2023 – 2030 годы», утвержденной постановлением Кабине</w:t>
      </w:r>
      <w:r>
        <w:rPr>
          <w:sz w:val="28"/>
          <w:szCs w:val="28"/>
        </w:rPr>
        <w:t>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2023 – 2030 годы», в соответствии с абзац</w:t>
      </w:r>
      <w:r>
        <w:rPr>
          <w:sz w:val="28"/>
          <w:szCs w:val="28"/>
        </w:rPr>
        <w:t xml:space="preserve">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17.05.2023 № под-1008/23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</w:t>
      </w:r>
      <w:r>
        <w:rPr>
          <w:sz w:val="28"/>
          <w:szCs w:val="28"/>
        </w:rPr>
        <w:t>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</w:t>
      </w:r>
      <w:r>
        <w:rPr>
          <w:sz w:val="28"/>
          <w:szCs w:val="28"/>
        </w:rPr>
        <w:t xml:space="preserve"> расходов, связанных с реализацией программы обучения «Основные направления деятельности заместителей руководителей исполнительных комитетов сельских поселений Республики Татарстан» для заместителей руководителей (секретарей) исполнительных комитетов сельс</w:t>
      </w:r>
      <w:r>
        <w:rPr>
          <w:sz w:val="28"/>
          <w:szCs w:val="28"/>
        </w:rPr>
        <w:t xml:space="preserve">ких поселений Республики Татарстан,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28.04.2023 № под-895/23 «Об утверждении Порядка определения объема и условий</w:t>
      </w:r>
      <w:r>
        <w:rPr>
          <w:sz w:val="28"/>
          <w:szCs w:val="28"/>
        </w:rPr>
        <w:t xml:space="preserve"> предоставления государственному автономному общеобразовательному учреждению «Полилингвальный комплекс «Адымнар - путь к знаниям и согласию» г.Казани», в отношении которого Министерство образования и науки Республики Татарстан осуществляет функции и полном</w:t>
      </w:r>
      <w:r>
        <w:rPr>
          <w:sz w:val="28"/>
          <w:szCs w:val="28"/>
        </w:rPr>
        <w:t>очия учредителя, субсидии из бюджета Республики Татарстан на финансовое обеспечение расходов, связанных с организацией и проведением профильной смены в загородном лагере отдыха для обучающихся, осваивающих дополнительные общеобразовательные программы в соо</w:t>
      </w:r>
      <w:r>
        <w:rPr>
          <w:sz w:val="28"/>
          <w:szCs w:val="28"/>
        </w:rPr>
        <w:t>тветствии с подпрограммой «Организация отдыха детей и молодежи на 2019-2025 годы» государственной программы «Развитие молодежной политики в Республике Татарстан на 2019-2025 годы», утвержденной постановлением Кабинета Министров Республики Татарстан от 05.0</w:t>
      </w:r>
      <w:r>
        <w:rPr>
          <w:sz w:val="28"/>
          <w:szCs w:val="28"/>
        </w:rPr>
        <w:t xml:space="preserve">3.2019 № 158, и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11.04.2023 № под-752/23 «Об утверждении Порядка определения объема и условий предоставления государственному бюджетному учреждению «Республикан</w:t>
      </w:r>
      <w:r>
        <w:rPr>
          <w:sz w:val="28"/>
          <w:szCs w:val="28"/>
        </w:rPr>
        <w:t xml:space="preserve">ский центр мониторинга качества образования»,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</w:t>
      </w:r>
      <w:r>
        <w:rPr>
          <w:sz w:val="28"/>
          <w:szCs w:val="28"/>
        </w:rPr>
        <w:t xml:space="preserve">проведением государственной итоговой аттестации в 2023 году,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11.04.2023 № под-751/23 «Об утверждении Порядка определения объема и условий предоставления госуда</w:t>
      </w:r>
      <w:r>
        <w:rPr>
          <w:sz w:val="28"/>
          <w:szCs w:val="28"/>
        </w:rPr>
        <w:t>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</w:t>
      </w:r>
      <w:r>
        <w:rPr>
          <w:sz w:val="28"/>
          <w:szCs w:val="28"/>
        </w:rPr>
        <w:t>чия учредителя, субсидии из бюджета Республики Татарстан на исполнение п. 7.3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</w:t>
      </w:r>
      <w:r>
        <w:rPr>
          <w:sz w:val="28"/>
          <w:szCs w:val="28"/>
        </w:rPr>
        <w:t>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</w:t>
      </w:r>
      <w:r>
        <w:rPr>
          <w:sz w:val="28"/>
          <w:szCs w:val="28"/>
        </w:rPr>
        <w:t xml:space="preserve">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10.04.2023 № под-750/23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</w:t>
      </w:r>
      <w:r>
        <w:rPr>
          <w:sz w:val="28"/>
          <w:szCs w:val="28"/>
        </w:rPr>
        <w:t>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</w:t>
      </w:r>
      <w:r>
        <w:rPr>
          <w:sz w:val="28"/>
          <w:szCs w:val="28"/>
        </w:rPr>
        <w:t>ции в 2023-2025 годах мероприятий государственной программы «Сохранение национальной идентичности татарского народа», утвержденной постановлением Кабинета Министров Республики Татарстан от 25.08.2020 № 730 «Об утверждении государственной программы «Сохране</w:t>
      </w:r>
      <w:r>
        <w:rPr>
          <w:sz w:val="28"/>
          <w:szCs w:val="28"/>
        </w:rPr>
        <w:t xml:space="preserve">ние национальной идентичности татарского народа»,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29.03.2023 № под-647/23 «Об утверждении Порядка определения объема и условий предоставления государственному </w:t>
      </w:r>
      <w:r>
        <w:rPr>
          <w:sz w:val="28"/>
          <w:szCs w:val="28"/>
        </w:rPr>
        <w:t>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</w:t>
      </w:r>
      <w:r>
        <w:rPr>
          <w:sz w:val="28"/>
          <w:szCs w:val="28"/>
        </w:rPr>
        <w:t>еля, субсидии из бюджета Республики Татарстан на обеспечение реализации в 2023 году мероприятий государственной программы «Сохранение, изучение и развитие государственных языков Республики Татарстан и других языков в Республике Татарстан на 2023 – 2030 год</w:t>
      </w:r>
      <w:r>
        <w:rPr>
          <w:sz w:val="28"/>
          <w:szCs w:val="28"/>
        </w:rPr>
        <w:t>ы»,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202</w:t>
      </w:r>
      <w:r>
        <w:rPr>
          <w:sz w:val="28"/>
          <w:szCs w:val="28"/>
        </w:rPr>
        <w:t xml:space="preserve">3 – 2030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09.03.2023 № под-464/23 «Об утверждении Порядка определения объема и условий предоставления государственному бюджетному учреждению «Республикан</w:t>
      </w:r>
      <w:r>
        <w:rPr>
          <w:sz w:val="28"/>
          <w:szCs w:val="28"/>
        </w:rPr>
        <w:t>ский центр психолого-педагогической и медико-социальной помощи «Центральная психолого-медико-педагогическая комиссия», в отношении которого Министерство образования и науки Республики Татарстан осуществляет функции и полномочия учредителя, субсидии из бюдж</w:t>
      </w:r>
      <w:r>
        <w:rPr>
          <w:sz w:val="28"/>
          <w:szCs w:val="28"/>
        </w:rPr>
        <w:t>ета Республики Татарстан на исполнение п. 3.4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</w:t>
      </w:r>
      <w:r>
        <w:rPr>
          <w:sz w:val="28"/>
          <w:szCs w:val="28"/>
        </w:rPr>
        <w:t xml:space="preserve">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06.03.2023 № под-422/23 «Об утверждении Порядка определения объема и условий предоставления государственному автономному образовательному учреждению «Институт развития образования Республики Татарстан», в отно</w:t>
      </w:r>
      <w:r>
        <w:rPr>
          <w:sz w:val="28"/>
          <w:szCs w:val="28"/>
        </w:rPr>
        <w:t xml:space="preserve">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на финан</w:t>
      </w:r>
      <w:r>
        <w:rPr>
          <w:sz w:val="28"/>
          <w:szCs w:val="28"/>
        </w:rPr>
        <w:t>совое обеспечение реализации образовательного проекта «Лицей Академии Яндекса» в Республике Татарстан в 2023 году»;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21.02.2023 № под-356/23 «Об утверждении Порядка определения объема и условий предоставления государственному бюджетному учреждению «Инсти</w:t>
      </w:r>
      <w:r>
        <w:rPr>
          <w:sz w:val="28"/>
          <w:szCs w:val="28"/>
        </w:rPr>
        <w:t>тут истории имени Шигабутдина Марджани Академии наук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</w:t>
      </w:r>
      <w:r>
        <w:rPr>
          <w:sz w:val="28"/>
          <w:szCs w:val="28"/>
        </w:rPr>
        <w:t xml:space="preserve">лизации в 2023 году мероприятий государственной программы «Реализация государственной национальной политики в Республике Татарстан на 2014-2025 годы», утвержденной постановлением Кабинета Министров Республики Татарстан от 18.12.2013 № 1006 «Об утверждении </w:t>
      </w:r>
      <w:r>
        <w:rPr>
          <w:sz w:val="28"/>
          <w:szCs w:val="28"/>
        </w:rPr>
        <w:t xml:space="preserve">государственной программы «Реализация государственной национальной политики в Республике Татарстан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20.02.2023 № под-346/23 «Об утверждении </w:t>
      </w:r>
      <w:r>
        <w:rPr>
          <w:sz w:val="28"/>
          <w:szCs w:val="28"/>
        </w:rPr>
        <w:t>Порядка определения объема и условий предоставления государственному автономному образовательному учреждению для детей, нуждающихся в психолого-педагогической и медико-социальной помощи «Центр психолого-педагогической реабилитации и коррекции «Росток», в о</w:t>
      </w:r>
      <w:r>
        <w:rPr>
          <w:sz w:val="28"/>
          <w:szCs w:val="28"/>
        </w:rPr>
        <w:t>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подпункта 1.2.3 пункта 1 концепции комплексного сопровождения людей с р</w:t>
      </w:r>
      <w:r>
        <w:rPr>
          <w:sz w:val="28"/>
          <w:szCs w:val="28"/>
        </w:rPr>
        <w:t>асстройствами аутистического спектора и другими ментальными нарушениями в Республике Татарстан на 2022 – 2026 годы, утвержденной постановлением Кабинета Министров Республики Татарстан от 14.11.2022 № 1208 «Об утверждении Концепции комплексного сопровождени</w:t>
      </w:r>
      <w:r>
        <w:rPr>
          <w:sz w:val="28"/>
          <w:szCs w:val="28"/>
        </w:rPr>
        <w:t xml:space="preserve">я людей с расстройствами аутистического спектора и другими ментальными нарушениями в Республике Татарстан на 2022 – 2026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15.02.2023 № под-315/23 «Об утв</w:t>
      </w:r>
      <w:r>
        <w:rPr>
          <w:sz w:val="28"/>
          <w:szCs w:val="28"/>
        </w:rPr>
        <w:t>ерждении Порядка определения объема и условий предоставления из бюджета Республики Татарстан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</w:t>
      </w:r>
      <w:r>
        <w:rPr>
          <w:sz w:val="28"/>
          <w:szCs w:val="28"/>
        </w:rPr>
        <w:t>шении которого Министерство образования и науки Республики Татарстан осуществляет функции и полномочия учредителя, субсидий на иные цели»;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27.01.2023 № под-130/23 «Об утверждении Порядка определения объема и условий предоставления государственному бюдже</w:t>
      </w:r>
      <w:r>
        <w:rPr>
          <w:sz w:val="28"/>
          <w:szCs w:val="28"/>
        </w:rPr>
        <w:t>тному учреждению дополнительного образования «Республиканский центр внешкольной работы»,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</w:t>
      </w:r>
      <w:r>
        <w:rPr>
          <w:sz w:val="28"/>
          <w:szCs w:val="28"/>
        </w:rPr>
        <w:t>еспечение реализации пункта 5.6 подпрограммы «Организация деятельности по профилактике правонарушений и преступлений в Республике Татарстан на 2014 – 2025 годы» государственной программы «Обеспечение общественного порядка и противодействие преступности в Р</w:t>
      </w:r>
      <w:r>
        <w:rPr>
          <w:sz w:val="28"/>
          <w:szCs w:val="28"/>
        </w:rPr>
        <w:t>еспублике Татарстан на 2014-2025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</w:t>
      </w:r>
      <w:r>
        <w:rPr>
          <w:sz w:val="28"/>
          <w:szCs w:val="28"/>
        </w:rPr>
        <w:t xml:space="preserve">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27.01.2023 № под-129/23 «Об утверждении Порядка определения объема и условий предоставления государственному автономному образовательном</w:t>
      </w:r>
      <w:r>
        <w:rPr>
          <w:sz w:val="28"/>
          <w:szCs w:val="28"/>
        </w:rPr>
        <w:t>у учреждению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п</w:t>
      </w:r>
      <w:r>
        <w:rPr>
          <w:sz w:val="28"/>
          <w:szCs w:val="28"/>
        </w:rPr>
        <w:t>ункта 1.5 подпрограммы «Профилактика безнадзорности и правонарушений несовершеннолетних в Республике Татарстан на 2014 – 2025 годы» государственной программы «Обеспечение общественного порядка и противодействие преступности в Республике Татарстан на 2014-2</w:t>
      </w:r>
      <w:r>
        <w:rPr>
          <w:sz w:val="28"/>
          <w:szCs w:val="28"/>
        </w:rPr>
        <w:t>025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2014-2025 годы», в соот</w:t>
      </w:r>
      <w:r>
        <w:rPr>
          <w:sz w:val="28"/>
          <w:szCs w:val="28"/>
        </w:rPr>
        <w:t xml:space="preserve">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10.01.2023 № под-7/23 «Об утверждении Порядка определения объема и условий предоставления государственному автономному образовательному учреждению дополнительного пр</w:t>
      </w:r>
      <w:r>
        <w:rPr>
          <w:sz w:val="28"/>
          <w:szCs w:val="28"/>
        </w:rPr>
        <w:t>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</w:t>
      </w:r>
      <w:r>
        <w:rPr>
          <w:sz w:val="28"/>
          <w:szCs w:val="28"/>
        </w:rPr>
        <w:t>ие реализации в 2023 году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Татарстан», утвержденной постановлением Кабинета Министров Республики Татарстан от 22.11.2</w:t>
      </w:r>
      <w:r>
        <w:rPr>
          <w:sz w:val="28"/>
          <w:szCs w:val="28"/>
        </w:rPr>
        <w:t xml:space="preserve">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</w:t>
      </w:r>
      <w:r>
        <w:rPr>
          <w:sz w:val="28"/>
          <w:szCs w:val="28"/>
        </w:rPr>
        <w:t>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26.12.2022 № под-2299/22 «Об утверждении Порядка определения объема и условий предоставления государственному автономному образовательному учреждению «Республиканский олимпиадный центр» Министерства образования и науки Республики Татарстан, в отноше</w:t>
      </w:r>
      <w:r>
        <w:rPr>
          <w:sz w:val="28"/>
          <w:szCs w:val="28"/>
        </w:rPr>
        <w:t>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организацией оплаты разработчикам заданий школьного, м</w:t>
      </w:r>
      <w:r>
        <w:rPr>
          <w:sz w:val="28"/>
          <w:szCs w:val="28"/>
        </w:rPr>
        <w:t xml:space="preserve">униципального этапа республиканской и всероссийской олимпиад школьников, заключительного этапа республиканской олимпиады школьников среди 4-8, 4-11 классов, «Путь к Олимпу», «Служу Отчизне! Служу народу!»,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26.12.2022 № под-2298/22 «Об утверждении Порядка определения объема и условий предоставления государственному бюджетному учреждению «Республиканский центр мониторинга качества образования», в отношении которог</w:t>
      </w:r>
      <w:r>
        <w:rPr>
          <w:sz w:val="28"/>
          <w:szCs w:val="28"/>
        </w:rPr>
        <w:t xml:space="preserve">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оплатой труда членов государственной экзаменационной комиссии, в </w:t>
      </w:r>
      <w:r>
        <w:rPr>
          <w:sz w:val="28"/>
          <w:szCs w:val="28"/>
        </w:rPr>
        <w:t xml:space="preserve">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21.12.2022 № под-2260/22 «Об утверждении Порядка определения объема и условий предоставления государственному автономному образовательному учреждению дополнитель</w:t>
      </w:r>
      <w:r>
        <w:rPr>
          <w:sz w:val="28"/>
          <w:szCs w:val="28"/>
        </w:rPr>
        <w:t>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ор</w:t>
      </w:r>
      <w:r>
        <w:rPr>
          <w:sz w:val="28"/>
          <w:szCs w:val="28"/>
        </w:rPr>
        <w:t>ганизацию курсовой подготовки и профессиональной переподготовки кадров в системе общего образования в рамках подпрограммы «Развитие общего образования, включая инклюзивное, и повышение квалификации работников данной сферы» государственной программы «Развит</w:t>
      </w:r>
      <w:r>
        <w:rPr>
          <w:sz w:val="28"/>
          <w:szCs w:val="28"/>
        </w:rPr>
        <w:t xml:space="preserve">ие образование и науки Республики Татарстан на 2014 - 2025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06.12.2022 № под-2109/22 «Об утверждении Порядка определения объема и условий предоставления </w:t>
      </w:r>
      <w:r>
        <w:rPr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</w:t>
      </w:r>
      <w:r>
        <w:rPr>
          <w:sz w:val="28"/>
          <w:szCs w:val="28"/>
        </w:rPr>
        <w:t>олномочия учредителя, субсидии из бюджета Республики Татарстан на финансовое обеспечение расходов, связанных с организацией предоставления дошкольного образования для детей с расстройством аутистического спектра, в соответствии с абзацем вторым пункта 1 ст</w:t>
      </w:r>
      <w:r>
        <w:rPr>
          <w:sz w:val="28"/>
          <w:szCs w:val="28"/>
        </w:rPr>
        <w:t xml:space="preserve">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23.11.2022 № под-2010/22 «Об утверждении Порядка определения объема и условий предоставления государственному автономному образовате</w:t>
      </w:r>
      <w:r>
        <w:rPr>
          <w:sz w:val="28"/>
          <w:szCs w:val="28"/>
        </w:rPr>
        <w:t>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</w:t>
      </w:r>
      <w:r>
        <w:rPr>
          <w:sz w:val="28"/>
          <w:szCs w:val="28"/>
        </w:rPr>
        <w:t>та Республики Татарстан на обеспечение реализации в 2022 году мероприятий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2022 годы», утвержденной поста</w:t>
      </w:r>
      <w:r>
        <w:rPr>
          <w:sz w:val="28"/>
          <w:szCs w:val="28"/>
        </w:rPr>
        <w:t>новлением Кабинета Министров Республики Татарстан от 25.10.2013 № 794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2014 – 2022 годы», в соот</w:t>
      </w:r>
      <w:r>
        <w:rPr>
          <w:sz w:val="28"/>
          <w:szCs w:val="28"/>
        </w:rPr>
        <w:t xml:space="preserve">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26.10.2022 № под-1804/22 «Об утверждении Порядка определения объема и условий предоставления государственному автономному образовательному учреждению «Республиканск</w:t>
      </w:r>
      <w:r>
        <w:rPr>
          <w:sz w:val="28"/>
          <w:szCs w:val="28"/>
        </w:rPr>
        <w:t>ий олимпиадный центр»,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организацией отдыха в Р</w:t>
      </w:r>
      <w:r>
        <w:rPr>
          <w:sz w:val="28"/>
          <w:szCs w:val="28"/>
        </w:rPr>
        <w:t>еспублике Татарстан детей из числа граждан, вынуждено покинувших территорию Украины, детей из Донецкой Народной Республики и Луганской Народной Республики, в том числе детей сотрудников органов внутренних дел Донецкой Народной Республики и Луганской Народн</w:t>
      </w:r>
      <w:r>
        <w:rPr>
          <w:sz w:val="28"/>
          <w:szCs w:val="28"/>
        </w:rPr>
        <w:t xml:space="preserve">ой Республики,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19.10.2022 № под-1756/22 «Об утверждении Порядка определения объема и условий предоставления государственному автономному образовательному учреж</w:t>
      </w:r>
      <w:r>
        <w:rPr>
          <w:sz w:val="28"/>
          <w:szCs w:val="28"/>
        </w:rPr>
        <w:t>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</w:t>
      </w:r>
      <w:r>
        <w:rPr>
          <w:sz w:val="28"/>
          <w:szCs w:val="28"/>
        </w:rPr>
        <w:t>и Татарстан на обеспечение реализации пунктов 4.17.1, 4.22, 4.24.1, 4.27 подпрограммы «Профилактика терроризма и экстремизма в Республике Татарстан на 2014 - 2025 годы» государственной программы «Обеспечение общественного порядка и противодействие преступн</w:t>
      </w:r>
      <w:r>
        <w:rPr>
          <w:sz w:val="28"/>
          <w:szCs w:val="28"/>
        </w:rPr>
        <w:t>ости в Республике Татарстан на 2014-2025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</w:t>
      </w:r>
      <w:r>
        <w:rPr>
          <w:sz w:val="28"/>
          <w:szCs w:val="28"/>
        </w:rPr>
        <w:t xml:space="preserve"> Татарстан на 2014-2025 годы», в соответствии с абзацем вторым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11.10.2022 № под-1716/22 «Об утверждении Порядка определения объема и условий предоставления государственному бюджетному учрежде</w:t>
      </w:r>
      <w:r>
        <w:rPr>
          <w:sz w:val="28"/>
          <w:szCs w:val="28"/>
        </w:rPr>
        <w:t>нию дополнительного образования «Республиканский центр внешкольной работы»,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</w:t>
      </w:r>
      <w:r>
        <w:rPr>
          <w:sz w:val="28"/>
          <w:szCs w:val="28"/>
        </w:rPr>
        <w:t>лизации пунктов 4.20.1, 4.39 подпрограммы «Профилактика терроризма и экстремизма в Республике Татарстан на 2014 – 2025 годы» государственной программы «Обеспечение общественного порядка и противодействие преступности в Республике Татарстан на 2014-2025 год</w:t>
      </w:r>
      <w:r>
        <w:rPr>
          <w:sz w:val="28"/>
          <w:szCs w:val="28"/>
        </w:rPr>
        <w:t>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2014-2025 годы», в соответстви</w:t>
      </w:r>
      <w:r>
        <w:rPr>
          <w:sz w:val="28"/>
          <w:szCs w:val="28"/>
        </w:rPr>
        <w:t xml:space="preserve">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11.10.2022 № под-1715/22 «Об утверждении Порядка определения объема и условий предоставления государственному автономному образовательному учреждению «Институт развития обр</w:t>
      </w:r>
      <w:r>
        <w:rPr>
          <w:sz w:val="28"/>
          <w:szCs w:val="28"/>
        </w:rPr>
        <w:t>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пункта 5.4. подпрограммы «Профилакти</w:t>
      </w:r>
      <w:r>
        <w:rPr>
          <w:sz w:val="28"/>
          <w:szCs w:val="28"/>
        </w:rPr>
        <w:t>ка наркомании среди населения Республики Татарстан на 2014 – 2025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 Ре</w:t>
      </w:r>
      <w:r>
        <w:rPr>
          <w:sz w:val="28"/>
          <w:szCs w:val="28"/>
        </w:rPr>
        <w:t xml:space="preserve">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</w:t>
      </w:r>
      <w:r>
        <w:rPr>
          <w:sz w:val="28"/>
          <w:szCs w:val="28"/>
        </w:rPr>
        <w:t>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14.10.2022 № под-1741/22 «Об утверждении Порядка определения объема и условий предоставления государственному автономному профессиональному образовательному учреждению «Арский педагогический колледж им.Г.Тукая», в отношении к</w:t>
      </w:r>
      <w:r>
        <w:rPr>
          <w:sz w:val="28"/>
          <w:szCs w:val="28"/>
        </w:rPr>
        <w:t>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государственной программы «Сохранение, изучение</w:t>
      </w:r>
      <w:r>
        <w:rPr>
          <w:sz w:val="28"/>
          <w:szCs w:val="28"/>
        </w:rPr>
        <w:t xml:space="preserve"> и развитие государственных языков Республики Татарстан и других языков в Республике Татарстан на 2014 – 2022 годы», утвержденной постановлением Кабинета Министров Республики Татарстан от 25.10.2013 № 794 «Об утверждении государственной программы «Сохранен</w:t>
      </w:r>
      <w:r>
        <w:rPr>
          <w:sz w:val="28"/>
          <w:szCs w:val="28"/>
        </w:rPr>
        <w:t xml:space="preserve">ие, изучение и развитие государственных языков Республики Татарстан и других языков в Республике Татарстан на 2014 – 2022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05.10.2022 № под-1661/22 «Об у</w:t>
      </w:r>
      <w:r>
        <w:rPr>
          <w:sz w:val="28"/>
          <w:szCs w:val="28"/>
        </w:rPr>
        <w:t>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</w:t>
      </w:r>
      <w:r>
        <w:rPr>
          <w:sz w:val="28"/>
          <w:szCs w:val="28"/>
        </w:rPr>
        <w:t>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реализацией программы повышения квалификации глав сельских поселений муниципальных</w:t>
      </w:r>
      <w:r>
        <w:rPr>
          <w:sz w:val="28"/>
          <w:szCs w:val="28"/>
        </w:rPr>
        <w:t xml:space="preserve"> районов Республики Татарстан «Современные подходы к управлению сельскими поселениями»,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04.10.2022 № под-1652/22 «Об утверждении Порядка определения объема и у</w:t>
      </w:r>
      <w:r>
        <w:rPr>
          <w:sz w:val="28"/>
          <w:szCs w:val="28"/>
        </w:rPr>
        <w:t>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</w:t>
      </w:r>
      <w:r>
        <w:rPr>
          <w:sz w:val="28"/>
          <w:szCs w:val="28"/>
        </w:rPr>
        <w:t xml:space="preserve">уществляет функции и полномочия учредителя, субсидии из бюджета Республики Татарстан на финансовое обеспечение расходов, связанных с организацией обучения специалистов системы образования Республики Татарстан по направлениям подготовки высшего образования </w:t>
      </w:r>
      <w:r>
        <w:rPr>
          <w:sz w:val="28"/>
          <w:szCs w:val="28"/>
        </w:rPr>
        <w:t xml:space="preserve">«История тюркских народов», «История, экономика и культура тюркских народов», «История искусств тюркско-мусульманского мира», «Педагогическое образование»,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04.</w:t>
      </w:r>
      <w:r>
        <w:rPr>
          <w:sz w:val="28"/>
          <w:szCs w:val="28"/>
        </w:rPr>
        <w:t>10.2022 № под-1651/22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</w:t>
      </w:r>
      <w:r>
        <w:rPr>
          <w:sz w:val="28"/>
          <w:szCs w:val="28"/>
        </w:rPr>
        <w:t>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оплату расходов, связанных с организацией обучения 15 студентов по направлению подготовки «Реклама и</w:t>
      </w:r>
      <w:r>
        <w:rPr>
          <w:sz w:val="28"/>
          <w:szCs w:val="28"/>
        </w:rPr>
        <w:t xml:space="preserve"> связи с общественностью. Копирайтинг и бренд коммуникации»,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04.10.2022 № под-1650/22 «Об утверждении Порядка определения объема и условий предоставления госуд</w:t>
      </w:r>
      <w:r>
        <w:rPr>
          <w:sz w:val="28"/>
          <w:szCs w:val="28"/>
        </w:rPr>
        <w:t>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</w:t>
      </w:r>
      <w:r>
        <w:rPr>
          <w:sz w:val="28"/>
          <w:szCs w:val="28"/>
        </w:rPr>
        <w:t>очия учредителя, субсидии из бюджета Республики Татарстан на финансовое обеспечение расходов, связанных с реализацией социально значимого проекта по обучению 2 студентов по направлениям подготовки «Журналистика» и «Телевидение», в соответствии с абзацем вт</w:t>
      </w:r>
      <w:r>
        <w:rPr>
          <w:sz w:val="28"/>
          <w:szCs w:val="28"/>
        </w:rPr>
        <w:t xml:space="preserve">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05.10.2022 № под-1660/22 «Об утверждении Порядка определения объема и условий предоставления государственному бюджетному общеобразовательному учреждению «Татарстанский кадетский корпус П</w:t>
      </w:r>
      <w:r>
        <w:rPr>
          <w:sz w:val="28"/>
          <w:szCs w:val="28"/>
        </w:rPr>
        <w:t>риволжского федерального округа имени Героя Советского Союза Гани Сафиуллина»,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оплату расхо</w:t>
      </w:r>
      <w:r>
        <w:rPr>
          <w:sz w:val="28"/>
          <w:szCs w:val="28"/>
        </w:rPr>
        <w:t xml:space="preserve">дов, связанных с проведением Спартакиады кадетских корпусов Приволжского федерального округа «Кадет Приволжья»,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03.10.2022 № под-1645/22 «Об утверждении Порядк</w:t>
      </w:r>
      <w:r>
        <w:rPr>
          <w:sz w:val="28"/>
          <w:szCs w:val="28"/>
        </w:rPr>
        <w:t>а определения объема и условий предоставления государственному бюджетному учреждению «Институт истории имени Шигабутдина Марджани Академии наук Республики Татарстан», в отношении которого Министерство образования и науки Республики Татарстан осуществляет ф</w:t>
      </w:r>
      <w:r>
        <w:rPr>
          <w:sz w:val="28"/>
          <w:szCs w:val="28"/>
        </w:rPr>
        <w:t>ункции и полномочия учредителя, субсидии из бюджета Республики Татарстан на обеспечение реализации отдельных мероприятий, посвященных празднованию 1100-летия официального принятия Ислама Волжской Булгарией, в соответствии с распоряжением Кабинета Министров</w:t>
      </w:r>
      <w:r>
        <w:rPr>
          <w:sz w:val="28"/>
          <w:szCs w:val="28"/>
        </w:rPr>
        <w:t xml:space="preserve"> Республики Татарстан от 14.02.2022 № 228-р и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19.09.2022 № под-1559/22 «Об утверждении Порядка определения объема и условий предоставления государственному бюджетному учреждени</w:t>
      </w:r>
      <w:r>
        <w:rPr>
          <w:sz w:val="28"/>
          <w:szCs w:val="28"/>
        </w:rPr>
        <w:t>ю дополнительного образования «Республиканский центр внешкольной работы»,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</w:t>
      </w:r>
      <w:r>
        <w:rPr>
          <w:sz w:val="28"/>
          <w:szCs w:val="28"/>
        </w:rPr>
        <w:t>зации подпунктов 3.1.1., 3.1.3. пункта 3.1., пункта 4.3., подпункта 4.4.1. пункта 4.4., пункта 5.4., пункта 5.6. подпрограммы «Профилактика наркомании среди населения Республики Татарстан на 2014 – 2025 годы» государственной программы «Обеспечение обществе</w:t>
      </w:r>
      <w:r>
        <w:rPr>
          <w:sz w:val="28"/>
          <w:szCs w:val="28"/>
        </w:rPr>
        <w:t>нного порядка и противодействие преступности в Республике Татарстан на 2014-2025 годы»,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</w:t>
      </w:r>
      <w:r>
        <w:rPr>
          <w:sz w:val="28"/>
          <w:szCs w:val="28"/>
        </w:rPr>
        <w:t xml:space="preserve">ротиводействие преступности в Республике Татарстан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19.09.2022 № под-1558/22  «Об утверждении Порядка определения объема и условий предостав</w:t>
      </w:r>
      <w:r>
        <w:rPr>
          <w:sz w:val="28"/>
          <w:szCs w:val="28"/>
        </w:rPr>
        <w:t>ления государственному автономному образовательному учреждению для детей, нуждающихся в психолого-педагогической и медико-социальной помощи «Центр психолого-педагогической реабилитации и коррекции «Росток», в отношении которого Министерство образования и н</w:t>
      </w:r>
      <w:r>
        <w:rPr>
          <w:sz w:val="28"/>
          <w:szCs w:val="28"/>
        </w:rPr>
        <w:t>ауки Республики Татарстан осуществляет функции и полномочия учредителя, субсидии из бюджета Республики Татарстан на обеспечение реализации подпункта 3.3.4. пункта 3.3. подпрограммы «Профилактика наркомании среди населения Республики Татарстан на 2014 – 202</w:t>
      </w:r>
      <w:r>
        <w:rPr>
          <w:sz w:val="28"/>
          <w:szCs w:val="28"/>
        </w:rPr>
        <w:t>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 Республики Татарстан от 16.10.2013 № 764 «Об утверждении Государст</w:t>
      </w:r>
      <w:r>
        <w:rPr>
          <w:sz w:val="28"/>
          <w:szCs w:val="28"/>
        </w:rPr>
        <w:t xml:space="preserve">венной программы «Обеспечение общественного порядка и противодействие преступности в Республике Татарстан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19.09.2022 № под-1560/22 «Об утве</w:t>
      </w:r>
      <w:r>
        <w:rPr>
          <w:sz w:val="28"/>
          <w:szCs w:val="28"/>
        </w:rPr>
        <w:t>рждении Порядка определения объема и условий предоставления государственному казенному специальному учебно-воспитательному общеобразовательному учреждению закрытого типа «Республиканская специальная общеобразовательная школа имени Н.А.Галлямова», в отношен</w:t>
      </w:r>
      <w:r>
        <w:rPr>
          <w:sz w:val="28"/>
          <w:szCs w:val="28"/>
        </w:rPr>
        <w:t>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подпункта 3.3.3. пункта 3.3. подпрограммы «Профилактика наркомании среди насе</w:t>
      </w:r>
      <w:r>
        <w:rPr>
          <w:sz w:val="28"/>
          <w:szCs w:val="28"/>
        </w:rPr>
        <w:t>ления Республики Татарстан на 2014 – 2025 годы» государственной программы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 Республики Татарстан от 16</w:t>
      </w:r>
      <w:r>
        <w:rPr>
          <w:sz w:val="28"/>
          <w:szCs w:val="28"/>
        </w:rPr>
        <w:t xml:space="preserve">.10.2013 № 764 «Об утверждении Государственной программы «Обеспечение общественного порядка и противодействие преступности в Республике Татарстан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</w:t>
      </w:r>
      <w:r>
        <w:rPr>
          <w:sz w:val="28"/>
          <w:szCs w:val="28"/>
        </w:rPr>
        <w:t>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19.09.2022 № под-1554/22 «Об утверждении Порядка определения объема и условий предоставления государственному бюджетному учреждению «Институт истории имени Шигабутдина Марджани Академии наук Республики Татарстан», в отношении которого Министерство о</w:t>
      </w:r>
      <w:r>
        <w:rPr>
          <w:sz w:val="28"/>
          <w:szCs w:val="28"/>
        </w:rPr>
        <w:t>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Республиканского плана мероприятий, посвященных Году культурного наследия народов России в 2022 году, в</w:t>
      </w:r>
      <w:r>
        <w:rPr>
          <w:sz w:val="28"/>
          <w:szCs w:val="28"/>
        </w:rPr>
        <w:t xml:space="preserve"> соответствии с распоряжением Кабинета Министров Республики Татарстан от 12.09.2022 № 1935-р и абзацем вторым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hyperlink r:id="rId13" w:tooltip="https://pravo.tatarstan.ru/oiv/min/mon/?npa_id=1040081" w:history="1">
        <w:r>
          <w:rPr>
            <w:sz w:val="28"/>
            <w:szCs w:val="28"/>
          </w:rPr>
          <w:t xml:space="preserve">т 31.08.2022 № под-1457/22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</w:t>
        </w:r>
        <w:r>
          <w:rPr>
            <w:sz w:val="28"/>
            <w:szCs w:val="28"/>
          </w:rPr>
          <w:t>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в 2022-2025 годах меропр</w:t>
        </w:r>
        <w:r>
          <w:rPr>
            <w:sz w:val="28"/>
            <w:szCs w:val="28"/>
          </w:rPr>
          <w:t xml:space="preserve">иятий государственной программы «Реализация государственной национальной политики в Республике Татарстан на 2014-2025 годы», утвержденной постановлением Кабинета Министров Республики Татарстан от 18.12.2013 № 1006 «Об утверждении государственной программы </w:t>
        </w:r>
        <w:r>
          <w:rPr>
            <w:sz w:val="28"/>
            <w:szCs w:val="28"/>
          </w:rPr>
          <w:t>«Реализация государственной национальной политики в Республике Татарстан на 2014-2025 годы», в соответствии с абзацем вторым пункта 1 статьи 78</w:t>
        </w:r>
        <w:r>
          <w:rPr>
            <w:sz w:val="28"/>
            <w:szCs w:val="28"/>
            <w:vertAlign w:val="superscript"/>
          </w:rPr>
          <w:t>1</w:t>
        </w:r>
        <w:r>
          <w:rPr>
            <w:sz w:val="28"/>
            <w:szCs w:val="28"/>
          </w:rPr>
          <w:t xml:space="preserve"> Бюджетного кодекса Российской Федерации»</w:t>
        </w:r>
      </w:hyperlink>
      <w:r>
        <w:rPr>
          <w:sz w:val="28"/>
          <w:szCs w:val="28"/>
        </w:rPr>
        <w:t>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27.07.2022 № под-1291/22 «Об утверждении Порядка определения объем</w:t>
      </w:r>
      <w:r>
        <w:rPr>
          <w:sz w:val="28"/>
          <w:szCs w:val="28"/>
        </w:rPr>
        <w:t>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</w:t>
      </w:r>
      <w:r>
        <w:rPr>
          <w:sz w:val="28"/>
          <w:szCs w:val="28"/>
        </w:rPr>
        <w:t>ан осуществляет функции и полномочия учредителя, субсидии из бюджета Республики Татарстан на обеспечение реализации пункта 8 плана мероприятий по реализации проекта Республики Татарстан «Успех каждого ребенка» национального проекта «Образование» на 2019-20</w:t>
      </w:r>
      <w:r>
        <w:rPr>
          <w:sz w:val="28"/>
          <w:szCs w:val="28"/>
        </w:rPr>
        <w:t>24 годы, утвержденного постановлением Кабинета Министров Республики Татарстан от 13.12.2018 № 1131 «Об утверждении региональных проектов в рамках национального проекта «Образование» в Республике Татарстан на 2019 - 2024 годы», и соответствии с абзацем втор</w:t>
      </w:r>
      <w:r>
        <w:rPr>
          <w:sz w:val="28"/>
          <w:szCs w:val="28"/>
        </w:rPr>
        <w:t>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16.08.2022 № под-1373/22 «Об утверждении Порядк</w:t>
      </w:r>
      <w:r>
        <w:rPr>
          <w:sz w:val="28"/>
          <w:szCs w:val="28"/>
        </w:rPr>
        <w:t>а определения объема и условий предоставления государственному бюджетному учреждению дополнительного образования «Республиканский центр внешкольной работы», в отношении которого Министерство образования и науки Республики Татарстан осуществляет функции и п</w:t>
      </w:r>
      <w:r>
        <w:rPr>
          <w:sz w:val="28"/>
          <w:szCs w:val="28"/>
        </w:rPr>
        <w:t>олномочия учредителя, субсидии из бюджета Республики Татарстан на обеспечение реализации пунктов 1.1.3, 1.1.5, 3.2 подпрограммы «Патриотическое воспитание молодежи Республики Татарстан на 2019-2025 годы» государственной программы «Развитие молодежной полит</w:t>
      </w:r>
      <w:r>
        <w:rPr>
          <w:sz w:val="28"/>
          <w:szCs w:val="28"/>
        </w:rPr>
        <w:t xml:space="preserve">ики в Республике Татарстан на 2019 - 2025 годы», утвержденной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2019 - 2025 годы», в </w:t>
      </w:r>
      <w:r>
        <w:rPr>
          <w:sz w:val="28"/>
          <w:szCs w:val="28"/>
        </w:rPr>
        <w:t xml:space="preserve">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29.06.2022 № под-1163/22 «Об утверждении Порядка определения объема и условий предоставления государственным профессиональным образовательным организациям аграрн</w:t>
      </w:r>
      <w:r>
        <w:rPr>
          <w:sz w:val="28"/>
          <w:szCs w:val="28"/>
        </w:rPr>
        <w:t>ого профиля, в отношении которых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связанных с приобретением минеральных удобрени</w:t>
      </w:r>
      <w:r>
        <w:rPr>
          <w:sz w:val="28"/>
          <w:szCs w:val="28"/>
        </w:rPr>
        <w:t xml:space="preserve">й и (или) средств защиты растений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14.06.2022 № под-1048/22 «Об утверждении Порядка определения объема и условий предоставления государственному автономному обр</w:t>
      </w:r>
      <w:r>
        <w:rPr>
          <w:sz w:val="28"/>
          <w:szCs w:val="28"/>
        </w:rPr>
        <w:t xml:space="preserve">азовательному учреждению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в соответствии </w:t>
      </w:r>
      <w:r>
        <w:rPr>
          <w:sz w:val="28"/>
          <w:szCs w:val="28"/>
        </w:rPr>
        <w:t xml:space="preserve">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на финансовое обеспечение реализации образовательного проекта «Лицей Академии Яндекса» в Республике Татарстан в 2022 году»;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20.06.2022 № под-1092/22 «Об утверждении Порядка опр</w:t>
      </w:r>
      <w:r>
        <w:rPr>
          <w:sz w:val="28"/>
          <w:szCs w:val="28"/>
        </w:rPr>
        <w:t>еделения объема и условий предоставления государственному бюджетному учреждению «Институт истории имени Шигабутдина Марджани Академии наук Республики Татарстан», в отношении которого Министерство образования и науки Республики Татарстан осуществляет функци</w:t>
      </w:r>
      <w:r>
        <w:rPr>
          <w:sz w:val="28"/>
          <w:szCs w:val="28"/>
        </w:rPr>
        <w:t>и и полномочия учредителя, субсидии из бюджета Республики Татарстан на обеспечение реализации пункта 6.8 государственной программы «Реализация государственной национальной политики в Республике Татарстан на 2014–2025 годы», утвержденной постановлением Каби</w:t>
      </w:r>
      <w:r>
        <w:rPr>
          <w:sz w:val="28"/>
          <w:szCs w:val="28"/>
        </w:rPr>
        <w:t xml:space="preserve">нета Министров Республики Татарстан от 18.12.2013 № 1006 «Об утверждении государственной программы «Реализация государственной национальной политики в Республике Татарстан на 2014–2025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</w:t>
      </w:r>
      <w:r>
        <w:rPr>
          <w:sz w:val="28"/>
          <w:szCs w:val="28"/>
        </w:rPr>
        <w:t>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20.06.2022 № под-1091/22 «Об утверждении Порядка определения объема и условий предоставления государственному бюджетному учреждению «Институт истории имени Шигабутдина Марджани Академии наук Республики Татарстан», в отношен</w:t>
      </w:r>
      <w:r>
        <w:rPr>
          <w:sz w:val="28"/>
          <w:szCs w:val="28"/>
        </w:rPr>
        <w:t>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в 2022 году мероприятий государственной программы «Сохранение национальной ид</w:t>
      </w:r>
      <w:r>
        <w:rPr>
          <w:sz w:val="28"/>
          <w:szCs w:val="28"/>
        </w:rPr>
        <w:t>ентичности татарского народа (2020–2024 годы)», утвержденной постановлением Кабинета Министров Республики Татарстан от 25.08.2020 № 730 «Об утверждении государственной программы «Сохранение национальной идентичности татарского народа (2020–2024 годы)», в с</w:t>
      </w:r>
      <w:r>
        <w:rPr>
          <w:sz w:val="28"/>
          <w:szCs w:val="28"/>
        </w:rPr>
        <w:t xml:space="preserve">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20.06.2022 № под-1090/22 «Об утверждении Порядка определения объема и условий предоставления государственному бюджетному учреждению «Институт истории имени Шигабу</w:t>
      </w:r>
      <w:r>
        <w:rPr>
          <w:sz w:val="28"/>
          <w:szCs w:val="28"/>
        </w:rPr>
        <w:t>тдина Марджани Академии наук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пунктов 5.7, 6.6</w:t>
      </w:r>
      <w:r>
        <w:rPr>
          <w:sz w:val="28"/>
          <w:szCs w:val="28"/>
        </w:rPr>
        <w:t xml:space="preserve"> государственной программы «Реализация государственной национальной политики в Республике Татарстан на 2014–2025 годы», утвержденной постановлением Кабинета Министров Республики Татарстан от 18.12.2013 № 1006 «Об утверждении государственной программы «Реал</w:t>
      </w:r>
      <w:r>
        <w:rPr>
          <w:sz w:val="28"/>
          <w:szCs w:val="28"/>
        </w:rPr>
        <w:t xml:space="preserve">изация государственной национальной политики в Республике Татарстан на 2014–2025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16.06.2022 № под-1071/22 «Об утверждении Порядка определения объе</w:t>
      </w:r>
      <w:r>
        <w:rPr>
          <w:sz w:val="28"/>
          <w:szCs w:val="28"/>
        </w:rPr>
        <w:t>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</w:t>
      </w:r>
      <w:r>
        <w:rPr>
          <w:sz w:val="28"/>
          <w:szCs w:val="28"/>
        </w:rPr>
        <w:t>тан осуществляет функции и полномочия учредителя, субсидии из бюджета Республики Татарстан на обеспечение реализации в 2022 году мероприятий государственной программы «Сохранение, изучение и развитие государственных языков Республики Татарстан и других язы</w:t>
      </w:r>
      <w:r>
        <w:rPr>
          <w:sz w:val="28"/>
          <w:szCs w:val="28"/>
        </w:rPr>
        <w:t xml:space="preserve">ков в Республике Татарстан на 2014 – 2022 годы», утвержденной постановлением Кабинета Министров Республики Татарстан от 25.10.2013 № 794 «Об утверждении государственной программы «Сохранение, изучение и развитие государственных языков Республики Татарстан </w:t>
      </w:r>
      <w:r>
        <w:rPr>
          <w:sz w:val="28"/>
          <w:szCs w:val="28"/>
        </w:rPr>
        <w:t xml:space="preserve">и других языков в Республике Татарстан на 2014 – 2022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Федерации»;</w:t>
      </w:r>
    </w:p>
    <w:p w:rsidR="003F2512" w:rsidRDefault="00C278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 07.06.2022 № под-1011/22 «Об утверждении Порядка определения объема и условий предоставления госуд</w:t>
      </w:r>
      <w:r>
        <w:rPr>
          <w:sz w:val="28"/>
          <w:szCs w:val="28"/>
        </w:rPr>
        <w:t>арственному автономному образовательному учреждению для детей, нуждающихся в психолого-педагогической и медико-социальной помощи «Центр психолого-педагогической реабилитации и коррекции «Росток», в отношении которого Министерство образования и науки Респуб</w:t>
      </w:r>
      <w:r>
        <w:rPr>
          <w:sz w:val="28"/>
          <w:szCs w:val="28"/>
        </w:rPr>
        <w:t>лики Татарстан осуществляет функции и полномочия учредителя, субсидии из бюджета Республики Татарстан на обеспечение реализации пункта 3.1 подпрограммы «Профилактика терроризма и экстремизма в Республике Татарстан на 2014-2025 годы» государственной програм</w:t>
      </w:r>
      <w:r>
        <w:rPr>
          <w:sz w:val="28"/>
          <w:szCs w:val="28"/>
        </w:rPr>
        <w:t>мы «Обеспечение общественного порядка и противодействие преступности в Республике Татарстан на 2014-2025 годы», утвержденной постановлением Кабинета Министров Республики Татарстан от 16.10.2013 № 764 «Об утверждении Государственной программы «Обеспечение о</w:t>
      </w:r>
      <w:r>
        <w:rPr>
          <w:sz w:val="28"/>
          <w:szCs w:val="28"/>
        </w:rPr>
        <w:t xml:space="preserve">бщественного порядка и противодействие преступности в Республике Татарстан на 2014-2025 годы», в соответствии с абзацем вторым пункта 1 статьи </w:t>
      </w:r>
      <w:r>
        <w:rPr>
          <w:sz w:val="28"/>
          <w:szCs w:val="28"/>
          <w:highlight w:val="white"/>
        </w:rPr>
        <w:t>78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Федерации».</w:t>
      </w:r>
    </w:p>
    <w:p w:rsidR="003F2512" w:rsidRDefault="003F2512">
      <w:pPr>
        <w:spacing w:line="264" w:lineRule="auto"/>
        <w:ind w:firstLine="709"/>
        <w:jc w:val="both"/>
        <w:rPr>
          <w:sz w:val="28"/>
          <w:szCs w:val="28"/>
        </w:rPr>
      </w:pPr>
    </w:p>
    <w:p w:rsidR="003F2512" w:rsidRDefault="00C278F4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И.Г.Хадиуллин</w:t>
      </w:r>
    </w:p>
    <w:sectPr w:rsidR="003F2512">
      <w:pgSz w:w="11906" w:h="16838"/>
      <w:pgMar w:top="709" w:right="707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F4" w:rsidRDefault="00C278F4">
      <w:r>
        <w:separator/>
      </w:r>
    </w:p>
  </w:endnote>
  <w:endnote w:type="continuationSeparator" w:id="0">
    <w:p w:rsidR="00C278F4" w:rsidRDefault="00C2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F4" w:rsidRDefault="00C278F4">
      <w:r>
        <w:separator/>
      </w:r>
    </w:p>
  </w:footnote>
  <w:footnote w:type="continuationSeparator" w:id="0">
    <w:p w:rsidR="00C278F4" w:rsidRDefault="00C2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956"/>
    <w:multiLevelType w:val="hybridMultilevel"/>
    <w:tmpl w:val="9390A7AC"/>
    <w:lvl w:ilvl="0" w:tplc="12CC73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6960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1B0DC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A5C3A5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4CC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F86B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F401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9EE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F2F4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2"/>
    <w:rsid w:val="003C2A38"/>
    <w:rsid w:val="003F2512"/>
    <w:rsid w:val="00C2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3BCE"/>
  <w15:docId w15:val="{69DA3596-CCE0-408C-ADA4-03F2F92E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1"/>
    <w:link w:val="4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2"/>
    <w:link w:val="a0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2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2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rPr>
      <w:color w:val="0000FF"/>
      <w:u w:val="single"/>
    </w:rPr>
  </w:style>
  <w:style w:type="character" w:customStyle="1" w:styleId="af3">
    <w:name w:val="Верхний колонтитул Знак"/>
    <w:link w:val="af4"/>
    <w:qFormat/>
    <w:rPr>
      <w:sz w:val="24"/>
      <w:szCs w:val="24"/>
    </w:rPr>
  </w:style>
  <w:style w:type="character" w:customStyle="1" w:styleId="af5">
    <w:name w:val="Нижний колонтитул Знак"/>
    <w:link w:val="af6"/>
    <w:qFormat/>
    <w:rPr>
      <w:sz w:val="24"/>
      <w:szCs w:val="24"/>
    </w:rPr>
  </w:style>
  <w:style w:type="character" w:styleId="af7">
    <w:name w:val="Placeholder Text"/>
    <w:uiPriority w:val="99"/>
    <w:semiHidden/>
    <w:qFormat/>
    <w:rPr>
      <w:color w:val="808080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character" w:customStyle="1" w:styleId="25">
    <w:name w:val="Основной текст с отступом 2 Знак"/>
    <w:link w:val="26"/>
    <w:qFormat/>
    <w:rPr>
      <w:sz w:val="24"/>
      <w:szCs w:val="24"/>
    </w:rPr>
  </w:style>
  <w:style w:type="character" w:customStyle="1" w:styleId="27">
    <w:name w:val="Основной текст 2 Знак"/>
    <w:link w:val="28"/>
    <w:qFormat/>
    <w:rPr>
      <w:sz w:val="24"/>
      <w:szCs w:val="24"/>
    </w:rPr>
  </w:style>
  <w:style w:type="character" w:customStyle="1" w:styleId="st1">
    <w:name w:val="st1"/>
    <w:qFormat/>
  </w:style>
  <w:style w:type="character" w:customStyle="1" w:styleId="af8">
    <w:name w:val="Название Знак"/>
    <w:link w:val="13"/>
    <w:qFormat/>
    <w:rPr>
      <w:b/>
      <w:sz w:val="27"/>
    </w:rPr>
  </w:style>
  <w:style w:type="character" w:customStyle="1" w:styleId="af9">
    <w:name w:val="Основной текст_"/>
    <w:link w:val="29"/>
    <w:qFormat/>
    <w:rPr>
      <w:sz w:val="26"/>
      <w:szCs w:val="26"/>
      <w:shd w:val="clear" w:color="auto" w:fill="FFFFFF"/>
    </w:rPr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a">
    <w:name w:val="List"/>
    <w:basedOn w:val="a1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8"/>
    <w:qFormat/>
    <w:pPr>
      <w:jc w:val="center"/>
    </w:pPr>
    <w:rPr>
      <w:b/>
      <w:sz w:val="27"/>
      <w:szCs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rFonts w:eastAsia="Calibri"/>
      <w:sz w:val="28"/>
      <w:szCs w:val="22"/>
      <w:lang w:eastAsia="en-US"/>
    </w:rPr>
  </w:style>
  <w:style w:type="paragraph" w:customStyle="1" w:styleId="aff0">
    <w:name w:val="Колонтитул"/>
    <w:basedOn w:val="a"/>
    <w:qFormat/>
  </w:style>
  <w:style w:type="paragraph" w:styleId="af4">
    <w:name w:val="header"/>
    <w:basedOn w:val="a"/>
    <w:link w:val="af3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link w:val="25"/>
    <w:qFormat/>
    <w:pPr>
      <w:spacing w:after="120" w:line="480" w:lineRule="auto"/>
      <w:ind w:left="283"/>
    </w:pPr>
  </w:style>
  <w:style w:type="paragraph" w:styleId="28">
    <w:name w:val="Body Text 2"/>
    <w:basedOn w:val="a"/>
    <w:link w:val="27"/>
    <w:qFormat/>
    <w:pPr>
      <w:spacing w:after="120" w:line="480" w:lineRule="auto"/>
    </w:pPr>
  </w:style>
  <w:style w:type="paragraph" w:customStyle="1" w:styleId="29">
    <w:name w:val="Основной текст2"/>
    <w:basedOn w:val="a"/>
    <w:link w:val="af9"/>
    <w:qFormat/>
    <w:pPr>
      <w:shd w:val="clear" w:color="auto" w:fill="FFFFFF"/>
      <w:spacing w:after="420" w:line="0" w:lineRule="atLeast"/>
    </w:pPr>
    <w:rPr>
      <w:sz w:val="26"/>
      <w:szCs w:val="26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aff1">
    <w:name w:val="Содержимое врезки"/>
    <w:basedOn w:val="a"/>
    <w:qFormat/>
  </w:style>
  <w:style w:type="table" w:styleId="aff2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.tatarstan.ru/oiv/min/mon/?npa_id=10400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avo.tatarstan.ru/oiv/min/mon/?npa_id=121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.tatarstan.ru/oiv/min/mon/?npa_id=15783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media1.sv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7454</Words>
  <Characters>42489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49844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dc:description/>
  <cp:lastModifiedBy/>
  <cp:revision>7</cp:revision>
  <dcterms:created xsi:type="dcterms:W3CDTF">2024-12-28T08:53:00Z</dcterms:created>
  <dcterms:modified xsi:type="dcterms:W3CDTF">2025-12-29T09:57:00Z</dcterms:modified>
  <dc:language>ru-RU</dc:language>
</cp:coreProperties>
</file>