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386" w:firstLine="0" w:left="0"/>
        <w:jc w:val="both"/>
        <w:rPr>
          <w:highlight w:val="none"/>
        </w:rPr>
      </w:pPr>
      <w:r>
        <w:rPr>
          <w:highlight w:val="none"/>
        </w:rPr>
      </w:r>
      <w:bookmarkStart w:id="0" w:name="_Hlk92794410"/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18.09.2024 </w:t>
      </w:r>
      <w:r>
        <w:rPr>
          <w:rFonts w:ascii="Times New Roman" w:hAnsi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803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(с изменениями, внесенными постановлениями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12.05.2025 № 315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27.05.2025</w:t>
        <w:br/>
        <w:t xml:space="preserve">№ 363, </w:t>
      </w:r>
      <w:r>
        <w:rPr>
          <w:rFonts w:ascii="Times New Roman" w:hAnsi="Times New Roman"/>
          <w:sz w:val="28"/>
          <w:szCs w:val="28"/>
          <w:highlight w:val="none"/>
        </w:rPr>
        <w:t xml:space="preserve">от 15.08.2025 № 605</w:t>
      </w:r>
      <w:r>
        <w:rPr>
          <w:rFonts w:ascii="Times New Roman" w:hAnsi="Times New Roman"/>
          <w:sz w:val="28"/>
          <w:szCs w:val="28"/>
          <w:highlight w:val="none"/>
        </w:rPr>
        <w:t xml:space="preserve">, о</w:t>
      </w:r>
      <w:r>
        <w:rPr>
          <w:rFonts w:ascii="Times New Roman" w:hAnsi="Times New Roman"/>
          <w:sz w:val="28"/>
          <w:szCs w:val="28"/>
          <w:highlight w:val="none"/>
        </w:rPr>
        <w:t xml:space="preserve">т 01.09.2025 № 650, от 13.11.2025 № 941)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следующие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изменени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я: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х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затрат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ах на государственные работы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выполняемые отдельными государственными учреждениями социокультурной сфе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ры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х указанным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графе 4 пункта 2.12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цифры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1 749 833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1 272 608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1 113 532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636 304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заменить цифрами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2 391 400,0</w:t>
      </w:r>
      <w:r>
        <w:rPr>
          <w:rFonts w:ascii="Times New Roman" w:hAnsi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</w:rPr>
        <w:t xml:space="preserve">1 739 200,0</w:t>
      </w:r>
      <w:r>
        <w:rPr>
          <w:rFonts w:ascii="Times New Roman" w:hAnsi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</w:rPr>
        <w:t xml:space="preserve">1 521 800,0</w:t>
      </w:r>
      <w:r>
        <w:rPr>
          <w:rFonts w:ascii="Times New Roman" w:hAnsi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</w:rPr>
        <w:t xml:space="preserve">869 620,5</w:t>
      </w:r>
      <w:r>
        <w:rPr>
          <w:rFonts w:ascii="Times New Roman" w:hAnsi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/>
          <w:sz w:val="28"/>
          <w:szCs w:val="28"/>
          <w:highlight w:val="none"/>
        </w:rPr>
        <w:t xml:space="preserve">соответственно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пункта 2.12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х затрат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на государственные услуги, оказываемые отдельными государственными учреждениями социокультурной сферы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утвержденных указанным постанов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лением,</w:t>
      </w:r>
      <w:r>
        <w:rPr>
          <w:rFonts w:ascii="Times New Roman" w:hAnsi="Times New Roman"/>
          <w:sz w:val="28"/>
          <w:szCs w:val="28"/>
          <w:highlight w:val="none"/>
        </w:rPr>
        <w:t xml:space="preserve"> цифры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5 179,22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цифрами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7 078,13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несении изменений в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спублики Татарстан на 2025 год и на плановый период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/>
          <w:sz w:val="28"/>
          <w:szCs w:val="28"/>
          <w:highlight w:val="none"/>
        </w:rPr>
        <w:t xml:space="preserve">несении изменений в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</w:t>
      </w:r>
      <w:r>
        <w:rPr>
          <w:rFonts w:ascii="Times New Roman" w:hAnsi="Times New Roman"/>
          <w:sz w:val="28"/>
          <w:szCs w:val="28"/>
          <w:highlight w:val="none"/>
        </w:rPr>
        <w:t xml:space="preserve">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/>
          <w:sz w:val="28"/>
          <w:szCs w:val="28"/>
          <w:highlight w:val="none"/>
        </w:rPr>
        <w:t xml:space="preserve">о исполнение пункта 2 распоряжения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28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.11.2025 № 2726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государственному бюджетному учреждению культуры Республики Татарстан «Билярский государственный историко-археологический и природный музей-заповедник»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ГБУК РТ «</w:t>
      </w:r>
      <w:r>
        <w:rPr>
          <w:rFonts w:ascii="Times New Roman" w:hAnsi="Times New Roman"/>
          <w:sz w:val="28"/>
          <w:szCs w:val="28"/>
          <w:highlight w:val="none"/>
        </w:rPr>
        <w:t xml:space="preserve">Билярский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музей-заповедник</w:t>
      </w:r>
      <w:r>
        <w:rPr>
          <w:rFonts w:ascii="Times New Roman" w:hAnsi="Times New Roman"/>
          <w:sz w:val="28"/>
          <w:szCs w:val="28"/>
          <w:highlight w:val="none"/>
        </w:rPr>
        <w:t xml:space="preserve">») на увеличение объема финансового обеспечения выполнения государственного задания </w:t>
      </w:r>
      <w:r>
        <w:rPr>
          <w:rFonts w:ascii="Times New Roman" w:hAnsi="Times New Roman"/>
          <w:sz w:val="28"/>
          <w:szCs w:val="28"/>
          <w:highlight w:val="none"/>
        </w:rPr>
        <w:t xml:space="preserve">в связи с вводом в эксплуатацию культурно-рекреационного кластера «Алтын Дага», архитектурно-культового комплекса «Святой ключ/Изге чишмә» после капитального ремонта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58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вносятся изменения в нормативные затраты на государственные услуги и работы, оказываемые и выполняемые </w:t>
      </w:r>
      <w:r>
        <w:rPr>
          <w:rFonts w:ascii="Times New Roman" w:hAnsi="Times New Roman"/>
          <w:sz w:val="28"/>
          <w:szCs w:val="28"/>
          <w:highlight w:val="none"/>
        </w:rPr>
        <w:t xml:space="preserve">ГБУК РТ «Билярский музей-заповедник»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8"/>
        <w:pBdr/>
        <w:spacing w:after="0" w:line="264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8"/>
        <w:pBdr/>
        <w:spacing w:after="0" w:line="264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649</cp:revision>
  <dcterms:created xsi:type="dcterms:W3CDTF">2016-09-30T12:20:00Z</dcterms:created>
  <dcterms:modified xsi:type="dcterms:W3CDTF">2025-12-01T08:41:01Z</dcterms:modified>
  <cp:version>1048576</cp:version>
</cp:coreProperties>
</file>