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 2025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widowControl w:val="false"/>
        <w:pBdr/>
        <w:tabs>
          <w:tab w:val="left" w:leader="none" w:pos="2977"/>
        </w:tabs>
        <w:spacing w:after="0" w:line="240" w:lineRule="auto"/>
        <w:ind w:right="5810" w:firstLine="0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изменений в Положение об условиях оплаты труда работников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организаций Республики Татарстан, утвержденное постановлением Кабинета Министров Республики Татарстан от 31.05.2018 № 412</w:t>
      </w:r>
      <w:r>
        <w:rPr>
          <w:rFonts w:ascii="Times New Roman" w:hAnsi="Times New Roman" w:cs="Times New Roman"/>
          <w:sz w:val="28"/>
          <w:szCs w:val="28"/>
        </w:rPr>
        <w:t xml:space="preserve"> «Об условиях оплаты труда работников государственных образовательных организаций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tabs>
          <w:tab w:val="left" w:leader="none" w:pos="3969"/>
        </w:tabs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widowControl w:val="false"/>
        <w:numPr>
          <w:ilvl w:val="0"/>
          <w:numId w:val="1"/>
        </w:numPr>
        <w:pBdr/>
        <w:tabs>
          <w:tab w:val="left" w:leader="none" w:pos="993"/>
        </w:tabs>
        <w:spacing w:after="0" w:line="288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:lang w:eastAsia="ru-RU"/>
        </w:rPr>
        <w:t xml:space="preserve"> </w:t>
      </w:r>
      <w:hyperlink r:id="rId11" w:tooltip="https://login.consultant.ru/link/?req=doc&amp;base=RLAW363&amp;n=152236&amp;dst=100022&amp;field=134&amp;date=17.02.2025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color w:val="000000"/>
            <w:spacing w:val="0"/>
            <w:sz w:val="28"/>
            <w:szCs w:val="28"/>
            <w:highlight w:val="white"/>
            <w:lang w:eastAsia="ru-RU"/>
          </w:rPr>
          <w:t xml:space="preserve">приложение</w:t>
        </w:r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color w:val="000000"/>
            <w:spacing w:val="0"/>
            <w:sz w:val="28"/>
            <w:szCs w:val="28"/>
            <w:highlight w:val="white"/>
            <w:lang w:val="en-US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№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hyperlink r:id="rId12" w:tooltip="https://login.consultant.ru/link/?req=doc&amp;base=RLAW363&amp;n=178866&amp;dst=11373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к П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оложени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ю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условиях оплаты труда работников государственных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ых образовательных организаций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утвержденному постановлением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31.05.2018 № 412 «Об условиях оплаты труда работников государственных образовательных организаций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изменениями, внесенными постановлениями Кабинета Министров Республики Татарстан 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31.10.2018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965, от 29.12.2018 № 1262, от 06.05.2019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380, от 11.07.2019 № 565, от 28.08.2019 № 714,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02.11.2019 № 1008, от 30.12.2019 №1278, от 16.04.2020 № 294,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21.05.2020 № 413, от 01.09.2020 № 772, от 23.10.2020 № 954,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26.07.2021 № 645, от 06.09.2021 № 821, от 29.10.2021 №1021,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30.10.2021 № 1030, от 15</w:t>
      </w:r>
      <w:r>
        <w:rPr>
          <w:rFonts w:ascii="Times New Roman" w:hAnsi="Times New Roman" w:cs="Times New Roman"/>
          <w:sz w:val="28"/>
          <w:szCs w:val="28"/>
        </w:rPr>
        <w:t xml:space="preserve">.06.2022 № 566, от 22.09.2022 № </w:t>
      </w:r>
      <w:r>
        <w:rPr>
          <w:rFonts w:ascii="Times New Roman" w:hAnsi="Times New Roman" w:cs="Times New Roman"/>
          <w:sz w:val="28"/>
          <w:szCs w:val="28"/>
        </w:rPr>
        <w:t xml:space="preserve">1027,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11.03.2023 № 232, от 19.08.2023 № 989, от 16.10.2023 № 1312,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31.10.2023 № 1377, от 07.11.2023 № 1431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11.05.2024</w:t>
        <w:br/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318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.2024 № </w:t>
      </w:r>
      <w:r>
        <w:rPr>
          <w:rFonts w:ascii="Times New Roman" w:hAnsi="Times New Roman" w:cs="Times New Roman"/>
          <w:sz w:val="28"/>
          <w:szCs w:val="28"/>
        </w:rPr>
        <w:t xml:space="preserve">454</w:t>
      </w:r>
      <w:r>
        <w:rPr>
          <w:rFonts w:ascii="Times New Roman" w:hAnsi="Times New Roman" w:cs="Times New Roman"/>
          <w:sz w:val="28"/>
          <w:szCs w:val="28"/>
        </w:rPr>
        <w:t xml:space="preserve">, от 25.09.2024 №830, от 30.12.2024 № 1273,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12.03.2025 № 149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 от 21.04.2025 № 252, от 19.06.2025 № 444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от 02.10.2025 №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785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), следующ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изменени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14:ligatures w14:val="none"/>
        </w:rPr>
        <w:t xml:space="preserve">в таблице 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14:ligatures w14:val="none"/>
        </w:rPr>
        <w:t xml:space="preserve">1: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10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92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80"/>
        <w:gridCol w:w="1606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18"/>
      </w:tblGrid>
      <w:tr>
        <w:trPr/>
        <w:tc>
          <w:tcPr>
            <w:tcBorders/>
            <w:tcW w:w="6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«10.</w:t>
            </w:r>
            <w:r/>
          </w:p>
        </w:tc>
        <w:tc>
          <w:tcPr>
            <w:tcBorders/>
            <w:tcW w:w="1606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Велосипедный спорт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2,2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3,3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5,0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13,9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16,7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19,4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22,2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50,0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55,6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1118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100,0</w:t>
            </w:r>
            <w:r>
              <w:rPr>
                <w:highlight w:val="none"/>
              </w:rPr>
              <w:t xml:space="preserve">»;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91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1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  <w:t xml:space="preserve">пункт 11 признать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  <w:t xml:space="preserve"> утратившим</w:t>
      </w:r>
      <w:r/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  <w:t xml:space="preserve"> силу;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1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  <w:t xml:space="preserve">пункт 76 признать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  <w:t xml:space="preserve"> утратившим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  <w:t xml:space="preserve"> силу;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1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14:ligatures w14:val="none"/>
        </w:rPr>
        <w:t xml:space="preserve">в таблице 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14:ligatures w14:val="none"/>
        </w:rPr>
        <w:t xml:space="preserve">2: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10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92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80"/>
        <w:gridCol w:w="1606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18"/>
      </w:tblGrid>
      <w:tr>
        <w:trPr/>
        <w:tc>
          <w:tcPr>
            <w:tcBorders/>
            <w:tcW w:w="6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«10.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06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Велосипедный спорт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21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24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30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1118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»;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91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1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  <w:t xml:space="preserve">пункт 11 признать 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  <w:t xml:space="preserve">утратившим</w:t>
      </w:r>
      <w:r/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  <w:t xml:space="preserve"> силу;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1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  <w:t xml:space="preserve">пункт 76 признать 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  <w:t xml:space="preserve">утратившим</w:t>
      </w:r>
      <w:r/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  <w:t xml:space="preserve"> силу;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1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14:ligatures w14:val="none"/>
        </w:rPr>
        <w:t xml:space="preserve">в таблице 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14:ligatures w14:val="none"/>
        </w:rPr>
        <w:t xml:space="preserve">3: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пункт 10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92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80"/>
        <w:gridCol w:w="1606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118"/>
      </w:tblGrid>
      <w:tr>
        <w:trPr/>
        <w:tc>
          <w:tcPr>
            <w:tcBorders/>
            <w:tcW w:w="6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«10.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06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Велосипедный спорт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/>
              <w:spacing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680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1118" w:type="dxa"/>
            <w:textDirection w:val="lrTb"/>
            <w:noWrap w:val="false"/>
          </w:tcPr>
          <w:p>
            <w:pPr>
              <w:pStyle w:val="918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»;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91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1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  <w:t xml:space="preserve">пункт 11 признать утратившим силу;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1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  <w:t xml:space="preserve">пункт 76 признать 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  <w:t xml:space="preserve">утратившим</w:t>
      </w:r>
      <w:r/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  <w:t xml:space="preserve"> силу.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28"/>
        <w:numPr>
          <w:ilvl w:val="0"/>
          <w:numId w:val="1"/>
        </w:numPr>
        <w:pBdr/>
        <w:spacing w:after="0" w:afterAutospacing="0" w:before="0" w:beforeAutospacing="0" w:line="288" w:lineRule="auto"/>
        <w:ind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Установить, что действие настоящего постановления распространяется на правоотношения, возникшие с 1 сентября 2025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А.В.Песошин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footnotePr/>
          <w:endnotePr/>
          <w:type w:val="nextPage"/>
          <w:pgSz w:h="16838" w:orient="portrait" w:w="11905"/>
          <w:pgMar w:top="1134" w:right="567" w:bottom="1134" w:left="1134" w:header="709" w:footer="0" w:gutter="0"/>
          <w:cols w:num="1" w:sep="0" w:space="720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18"/>
        <w:pBdr/>
        <w:spacing w:line="276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18"/>
        <w:pBdr/>
        <w:spacing w:line="276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18"/>
        <w:pBdr/>
        <w:spacing w:line="276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в Положение об условиях оплаты труда работников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профессиональных образовательных организаций Республики Татарстан, утвержденное постановлением Кабинета Министров Республики Татарстан от 31.05.2018 № 412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«Об условиях оплаты труда работников государственных образовательных организаций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«</w:t>
      </w:r>
      <w:r>
        <w:rPr>
          <w:rFonts w:ascii="Times New Roman" w:hAnsi="Times New Roman" w:cs="Times New Roman"/>
          <w:sz w:val="28"/>
          <w:szCs w:val="28"/>
        </w:rPr>
        <w:t xml:space="preserve">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изменений в Положение об условиях оплаты труда работников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организаций Республики Татарстан, утвержденное постановлением Кабинета Министров Республики Татарстан от 31.05.2018 № 412</w:t>
      </w:r>
      <w:r>
        <w:rPr>
          <w:rFonts w:ascii="Times New Roman" w:hAnsi="Times New Roman" w:cs="Times New Roman"/>
          <w:sz w:val="28"/>
          <w:szCs w:val="28"/>
        </w:rPr>
        <w:t xml:space="preserve"> «Об условиях оплаты труда работников государственных образовательных организаций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обращением Министерства </w:t>
      </w:r>
      <w:r>
        <w:rPr>
          <w:rFonts w:ascii="Times New Roman" w:hAnsi="Times New Roman"/>
          <w:sz w:val="28"/>
          <w:szCs w:val="28"/>
          <w:highlight w:val="none"/>
        </w:rPr>
        <w:t xml:space="preserve">спорта </w:t>
      </w:r>
      <w:r>
        <w:rPr>
          <w:rFonts w:ascii="Times New Roman" w:hAnsi="Times New Roman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</w:t>
      </w:r>
      <w:r>
        <w:rPr>
          <w:rFonts w:ascii="Times New Roman" w:hAnsi="Times New Roman"/>
          <w:sz w:val="28"/>
          <w:szCs w:val="28"/>
          <w:highlight w:val="none"/>
        </w:rPr>
        <w:t xml:space="preserve">08.09.2025</w:t>
      </w:r>
      <w:r>
        <w:rPr>
          <w:rFonts w:ascii="Times New Roman" w:hAnsi="Times New Roman"/>
          <w:sz w:val="28"/>
          <w:szCs w:val="28"/>
          <w:highlight w:val="none"/>
        </w:rPr>
        <w:t xml:space="preserve"> № 2317-ШХ</w:t>
      </w:r>
      <w:r>
        <w:rPr>
          <w:rFonts w:ascii="Times New Roman" w:hAnsi="Times New Roman"/>
          <w:sz w:val="28"/>
          <w:szCs w:val="28"/>
          <w:highlight w:val="none"/>
        </w:rPr>
        <w:t xml:space="preserve"> по вопросу внесения изменений в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 КМ РТ</w:t>
        <w:br/>
        <w:t xml:space="preserve">от 31.05.2018 № 412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условиях оплаты труда работников государственных образовательных организаций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виду спорта «велосипедный спорт»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1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вносятся изменения в Положение об условиях оплаты труда работников государственных профессиональных образовательных организаций Республики Та</w:t>
      </w:r>
      <w:r>
        <w:rPr>
          <w:rFonts w:ascii="Times New Roman" w:hAnsi="Times New Roman" w:cs="Times New Roman"/>
          <w:sz w:val="28"/>
          <w:szCs w:val="28"/>
        </w:rPr>
        <w:t xml:space="preserve">тарстан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виду спорта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Велосипедный спорт»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sz w:val="28"/>
          <w:szCs w:val="28"/>
        </w:rPr>
        <w:t xml:space="preserve">корректировки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ормативов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оплаты труда тренеров-преподавателей (старших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тренеров-преподавателей)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реализующих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в области физической культуры и спорта, за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занимающегося на этапах спортивной подготовки по 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едельного режима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учебно-тренировочной работы на этапах спортивной подготовки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видам спорта;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709" w:left="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ормативной наполняемости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 на этапах спортивной подготовки по видам спорта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highlight w:val="none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5" w:name="_Hlk172273865"/>
      <w:r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Кабинета Министров Республики Татарстан не потребует выделения дополнительных финансовых средств из бюджета Республики Татарстан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sectPr>
      <w:footnotePr/>
      <w:endnotePr/>
      <w:type w:val="nextPage"/>
      <w:pgSz w:h="16838" w:orient="portrait" w:w="11905"/>
      <w:pgMar w:top="1134" w:right="567" w:bottom="1134" w:left="1134" w:header="51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13773916"/>
      <w:docPartObj>
        <w:docPartGallery w:val="Page Numbers (Top of Page)"/>
        <w:docPartUnique w:val="true"/>
      </w:docPartObj>
      <w:rPr/>
    </w:sdtPr>
    <w:sdtContent>
      <w:p>
        <w:pPr>
          <w:pStyle w:val="919"/>
          <w:pBdr/>
          <w:spacing/>
          <w:ind/>
          <w:jc w:val="center"/>
          <w:rPr/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31</w:t>
        </w:r>
        <w:r>
          <w:rPr>
            <w:rFonts w:ascii="Times New Roman" w:hAnsi="Times New Roman" w:cs="Times New Roman"/>
            <w:sz w:val="28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62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>
    <w:name w:val="Table Grid Light"/>
    <w:basedOn w:val="9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Heading 1"/>
    <w:basedOn w:val="913"/>
    <w:next w:val="913"/>
    <w:link w:val="8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9">
    <w:name w:val="Heading 2"/>
    <w:basedOn w:val="913"/>
    <w:next w:val="913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0">
    <w:name w:val="Heading 3"/>
    <w:basedOn w:val="913"/>
    <w:next w:val="913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1">
    <w:name w:val="Heading 4"/>
    <w:basedOn w:val="913"/>
    <w:next w:val="913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2">
    <w:name w:val="Heading 5"/>
    <w:basedOn w:val="913"/>
    <w:next w:val="913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3">
    <w:name w:val="Heading 6"/>
    <w:basedOn w:val="913"/>
    <w:next w:val="913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4">
    <w:name w:val="Heading 7"/>
    <w:basedOn w:val="913"/>
    <w:next w:val="913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5">
    <w:name w:val="Heading 8"/>
    <w:basedOn w:val="913"/>
    <w:next w:val="913"/>
    <w:link w:val="8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6">
    <w:name w:val="Heading 9"/>
    <w:basedOn w:val="913"/>
    <w:next w:val="913"/>
    <w:link w:val="8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7">
    <w:name w:val="Heading 1 Char"/>
    <w:basedOn w:val="914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8">
    <w:name w:val="Heading 2 Char"/>
    <w:basedOn w:val="91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9">
    <w:name w:val="Heading 3 Char"/>
    <w:basedOn w:val="914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0">
    <w:name w:val="Heading 4 Char"/>
    <w:basedOn w:val="914"/>
    <w:link w:val="8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1">
    <w:name w:val="Heading 5 Char"/>
    <w:basedOn w:val="914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2">
    <w:name w:val="Heading 6 Char"/>
    <w:basedOn w:val="91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>
    <w:name w:val="Heading 7 Char"/>
    <w:basedOn w:val="914"/>
    <w:link w:val="8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>
    <w:name w:val="Heading 8 Char"/>
    <w:basedOn w:val="914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>
    <w:name w:val="Heading 9 Char"/>
    <w:basedOn w:val="914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Title"/>
    <w:basedOn w:val="913"/>
    <w:next w:val="913"/>
    <w:link w:val="8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7">
    <w:name w:val="Title Char"/>
    <w:basedOn w:val="914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913"/>
    <w:next w:val="913"/>
    <w:link w:val="8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>
    <w:name w:val="Subtitle Char"/>
    <w:basedOn w:val="914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913"/>
    <w:next w:val="913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>
    <w:name w:val="Quote Char"/>
    <w:basedOn w:val="914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Intense Emphasis"/>
    <w:basedOn w:val="9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3"/>
    <w:next w:val="913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91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9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3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9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91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91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9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9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2">
    <w:name w:val="Header Char"/>
    <w:basedOn w:val="914"/>
    <w:link w:val="919"/>
    <w:uiPriority w:val="99"/>
    <w:pPr>
      <w:pBdr/>
      <w:spacing/>
      <w:ind/>
    </w:pPr>
  </w:style>
  <w:style w:type="character" w:styleId="893">
    <w:name w:val="Footer Char"/>
    <w:basedOn w:val="914"/>
    <w:link w:val="921"/>
    <w:uiPriority w:val="99"/>
    <w:pPr>
      <w:pBdr/>
      <w:spacing/>
      <w:ind/>
    </w:pPr>
  </w:style>
  <w:style w:type="paragraph" w:styleId="894">
    <w:name w:val="Caption"/>
    <w:basedOn w:val="913"/>
    <w:next w:val="91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5">
    <w:name w:val="footnote text"/>
    <w:basedOn w:val="913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Footnote Text Char"/>
    <w:basedOn w:val="914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foot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endnote text"/>
    <w:basedOn w:val="913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>
    <w:name w:val="Endnote Text Char"/>
    <w:basedOn w:val="914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end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character" w:styleId="901">
    <w:name w:val="FollowedHyperlink"/>
    <w:basedOn w:val="9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2">
    <w:name w:val="toc 1"/>
    <w:basedOn w:val="913"/>
    <w:next w:val="913"/>
    <w:uiPriority w:val="39"/>
    <w:unhideWhenUsed/>
    <w:pPr>
      <w:pBdr/>
      <w:spacing w:after="100"/>
      <w:ind/>
    </w:pPr>
  </w:style>
  <w:style w:type="paragraph" w:styleId="903">
    <w:name w:val="toc 2"/>
    <w:basedOn w:val="913"/>
    <w:next w:val="913"/>
    <w:uiPriority w:val="39"/>
    <w:unhideWhenUsed/>
    <w:pPr>
      <w:pBdr/>
      <w:spacing w:after="100"/>
      <w:ind w:left="220"/>
    </w:pPr>
  </w:style>
  <w:style w:type="paragraph" w:styleId="904">
    <w:name w:val="toc 3"/>
    <w:basedOn w:val="913"/>
    <w:next w:val="913"/>
    <w:uiPriority w:val="39"/>
    <w:unhideWhenUsed/>
    <w:pPr>
      <w:pBdr/>
      <w:spacing w:after="100"/>
      <w:ind w:left="440"/>
    </w:pPr>
  </w:style>
  <w:style w:type="paragraph" w:styleId="905">
    <w:name w:val="toc 4"/>
    <w:basedOn w:val="913"/>
    <w:next w:val="913"/>
    <w:uiPriority w:val="39"/>
    <w:unhideWhenUsed/>
    <w:pPr>
      <w:pBdr/>
      <w:spacing w:after="100"/>
      <w:ind w:left="660"/>
    </w:pPr>
  </w:style>
  <w:style w:type="paragraph" w:styleId="906">
    <w:name w:val="toc 5"/>
    <w:basedOn w:val="913"/>
    <w:next w:val="913"/>
    <w:uiPriority w:val="39"/>
    <w:unhideWhenUsed/>
    <w:pPr>
      <w:pBdr/>
      <w:spacing w:after="100"/>
      <w:ind w:left="880"/>
    </w:pPr>
  </w:style>
  <w:style w:type="paragraph" w:styleId="907">
    <w:name w:val="toc 6"/>
    <w:basedOn w:val="913"/>
    <w:next w:val="913"/>
    <w:uiPriority w:val="39"/>
    <w:unhideWhenUsed/>
    <w:pPr>
      <w:pBdr/>
      <w:spacing w:after="100"/>
      <w:ind w:left="1100"/>
    </w:pPr>
  </w:style>
  <w:style w:type="paragraph" w:styleId="908">
    <w:name w:val="toc 7"/>
    <w:basedOn w:val="913"/>
    <w:next w:val="913"/>
    <w:uiPriority w:val="39"/>
    <w:unhideWhenUsed/>
    <w:pPr>
      <w:pBdr/>
      <w:spacing w:after="100"/>
      <w:ind w:left="1320"/>
    </w:pPr>
  </w:style>
  <w:style w:type="paragraph" w:styleId="909">
    <w:name w:val="toc 8"/>
    <w:basedOn w:val="913"/>
    <w:next w:val="913"/>
    <w:uiPriority w:val="39"/>
    <w:unhideWhenUsed/>
    <w:pPr>
      <w:pBdr/>
      <w:spacing w:after="100"/>
      <w:ind w:left="1540"/>
    </w:pPr>
  </w:style>
  <w:style w:type="paragraph" w:styleId="910">
    <w:name w:val="toc 9"/>
    <w:basedOn w:val="913"/>
    <w:next w:val="913"/>
    <w:uiPriority w:val="39"/>
    <w:unhideWhenUsed/>
    <w:pPr>
      <w:pBdr/>
      <w:spacing w:after="100"/>
      <w:ind w:left="1760"/>
    </w:p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913"/>
    <w:next w:val="913"/>
    <w:uiPriority w:val="99"/>
    <w:unhideWhenUsed/>
    <w:pPr>
      <w:pBdr/>
      <w:spacing w:after="0" w:afterAutospacing="0"/>
      <w:ind/>
    </w:pPr>
  </w:style>
  <w:style w:type="paragraph" w:styleId="913" w:default="1">
    <w:name w:val="Normal"/>
    <w:qFormat/>
    <w:pPr>
      <w:pBdr/>
      <w:spacing/>
      <w:ind/>
    </w:pPr>
  </w:style>
  <w:style w:type="character" w:styleId="914" w:default="1">
    <w:name w:val="Default Paragraph Font"/>
    <w:uiPriority w:val="1"/>
    <w:semiHidden/>
    <w:unhideWhenUsed/>
    <w:pPr>
      <w:pBdr/>
      <w:spacing/>
      <w:ind/>
    </w:pPr>
  </w:style>
  <w:style w:type="table" w:styleId="91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6" w:default="1">
    <w:name w:val="No List"/>
    <w:uiPriority w:val="99"/>
    <w:semiHidden/>
    <w:unhideWhenUsed/>
    <w:pPr>
      <w:pBdr/>
      <w:spacing/>
      <w:ind/>
    </w:pPr>
  </w:style>
  <w:style w:type="paragraph" w:styleId="917" w:customStyle="1">
    <w:name w:val="ConsPlusTitle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b/>
      <w:lang w:eastAsia="ru-RU"/>
    </w:rPr>
  </w:style>
  <w:style w:type="paragraph" w:styleId="918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19">
    <w:name w:val="Header"/>
    <w:basedOn w:val="913"/>
    <w:link w:val="92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0" w:customStyle="1">
    <w:name w:val="Верхний колонтитул Знак"/>
    <w:basedOn w:val="914"/>
    <w:link w:val="919"/>
    <w:uiPriority w:val="99"/>
    <w:pPr>
      <w:pBdr/>
      <w:spacing/>
      <w:ind/>
    </w:pPr>
  </w:style>
  <w:style w:type="paragraph" w:styleId="921">
    <w:name w:val="Footer"/>
    <w:basedOn w:val="913"/>
    <w:link w:val="92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2" w:customStyle="1">
    <w:name w:val="Нижний колонтитул Знак"/>
    <w:basedOn w:val="914"/>
    <w:link w:val="921"/>
    <w:uiPriority w:val="99"/>
    <w:pPr>
      <w:pBdr/>
      <w:spacing/>
      <w:ind/>
    </w:pPr>
  </w:style>
  <w:style w:type="paragraph" w:styleId="923">
    <w:name w:val="List Paragraph"/>
    <w:basedOn w:val="913"/>
    <w:uiPriority w:val="34"/>
    <w:qFormat/>
    <w:pPr>
      <w:pBdr/>
      <w:spacing w:after="200" w:line="276" w:lineRule="auto"/>
      <w:ind w:left="720"/>
      <w:contextualSpacing w:val="true"/>
    </w:pPr>
  </w:style>
  <w:style w:type="paragraph" w:styleId="924">
    <w:name w:val="Balloon Text"/>
    <w:basedOn w:val="913"/>
    <w:link w:val="925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5" w:customStyle="1">
    <w:name w:val="Текст выноски Знак"/>
    <w:basedOn w:val="914"/>
    <w:link w:val="92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26">
    <w:name w:val="Table Grid"/>
    <w:basedOn w:val="91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>
    <w:name w:val="Placeholder Text"/>
    <w:basedOn w:val="914"/>
    <w:uiPriority w:val="99"/>
    <w:semiHidden/>
    <w:pPr>
      <w:pBdr/>
      <w:spacing/>
      <w:ind/>
    </w:pPr>
    <w:rPr>
      <w:color w:val="808080"/>
    </w:rPr>
  </w:style>
  <w:style w:type="paragraph" w:styleId="928">
    <w:name w:val="Normal (Web)"/>
    <w:basedOn w:val="913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9">
    <w:name w:val="Hyperlink"/>
    <w:basedOn w:val="914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30" w:customStyle="1">
    <w:name w:val="       ConsPlusNormal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31" w:customStyle="1">
    <w:name w:val="Адресат"/>
    <w:basedOn w:val="927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60" w:beforeAutospacing="0" w:line="240" w:lineRule="auto"/>
      <w:ind w:right="0" w:firstLine="0" w:left="7258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363&amp;n=152236&amp;dst=100022&amp;field=134&amp;date=17.02.2025" TargetMode="External"/><Relationship Id="rId12" Type="http://schemas.openxmlformats.org/officeDocument/2006/relationships/hyperlink" Target="https://login.consultant.ru/link/?req=doc&amp;base=RLAW363&amp;n=178866&amp;dst=11373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B7088-61DB-45DF-91D4-3624B8BB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 Ильшат Расимович</dc:creator>
  <cp:keywords/>
  <dc:description/>
  <cp:revision>342</cp:revision>
  <dcterms:created xsi:type="dcterms:W3CDTF">2024-05-14T06:04:00Z</dcterms:created>
  <dcterms:modified xsi:type="dcterms:W3CDTF">2025-11-12T08:01:28Z</dcterms:modified>
</cp:coreProperties>
</file>