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«__» ________ 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№ 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внесении изменений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абинета Министров Республики Татарстан от 25.0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1"/>
        <w:numPr>
          <w:ilvl w:val="0"/>
          <w:numId w:val="22"/>
        </w:numPr>
        <w:pBdr/>
        <w:tabs>
          <w:tab w:val="left" w:leader="none" w:pos="993"/>
        </w:tabs>
        <w:spacing w:after="0" w:line="300" w:lineRule="auto"/>
        <w:ind w:right="0" w:firstLine="1058" w:left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Положение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25.0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изменениями, внесенными постановлениями Кабинета Министров Республики Татарстан от 18.07.2012 № 611, от 31.12.2012 № 1183, от 30.01.2013 № 48, от 11.05.2013 № 313, от 29.06.2013 № 455, от 10.01.2014 № 2, от 17.01.2014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20, от 28.05.2014 № 362, от 25.08.2014 № 613, от 06.10.2014 № 726, от 10.10.2014 № 752, от 29.12.2014 № 1050, от 04.08.2015 № 565, от 30.12.2015 № 1025, от 02.09.2016 № 611, от 23.12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.2016 № 983, от 18.05.2017 № 292, от 27.09.2017 № 731, от 26.10.2017 № 809, от 31.10.2017 № 827, от 18.11.2017 № 885, от 22.01.2018 № 27, от 26.04.2018 № 293, от 29.10.2018 № 953, от 27.12.2018 № 1247, от 13.07.2019 № 578, от 28.08.2019 № 730, от 18.10.201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9 № 938, от 29.10.2019 № 967, от 20.12.2019 № 1176, от 28.05.2020 № 433, от 29.06.2020 № 539, от 08.07.2020 № 568, от 04.02.2021 № 54, от 26.07.2021 № 645, от 16.08.2021 № 737, от 23.09.2021 № 903, от 30.10.2021 № 1030, от 30.05.2022 № 499, от 20.06.2022 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587, от 15.07.2022 № 683, от 12.08.2022 № 797, от 14.09.2022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1002, от 20.09.2022 № 1018, от 11.10.2022 № 1093, от 08.11.2022 № 1184, от 21.11.2022 № 1249, от 21.02.2023 № 171, от 10.08.2023 № 968, от 25.09.2023 № 1183, от 01.11.2023 № 1390, от 18.11.2023 № 1487, от 27.12.2023 № 1696, от 10.04.2024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247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 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.2024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419, от 17.06.2024 № 431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от 15.08.2024 № 659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04.09.2024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730, от 07.09.2024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741,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25.10.2024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920, от 31.10.2024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951, от 04.03.2025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132,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от 18.04.2025 № 247, от 22.05.2025 № 345, от 11.07.2025 № 504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следующие из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tabs>
          <w:tab w:val="left" w:leader="none" w:pos="993"/>
        </w:tabs>
        <w:spacing w:after="0" w:line="300" w:lineRule="auto"/>
        <w:ind w:right="0" w:firstLine="1058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5.6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none" w:pos="993"/>
        </w:tabs>
        <w:spacing w:after="0" w:line="300" w:lineRule="auto"/>
        <w:ind w:right="0" w:firstLine="1058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«5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.6. Выплаты компенсационного характера за работу в условиях, отклоняющихся от нормальных, предоставляются работникам профессиональных квалификационных групп должностей медицинских и фармацевтических работников государственных медицинских организаций Респу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блики Татарстан и рассчитываются по формуле: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tabs>
          <w:tab w:val="left" w:leader="none" w:pos="993"/>
        </w:tabs>
        <w:spacing w:after="0" w:line="30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Style w:val="1031"/>
        <w:pBdr/>
        <w:spacing w:line="300" w:lineRule="auto"/>
        <w:ind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m:oMathPara>
        <m:oMathParaPr/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rPr>
                  <m:nor m:val="on"/>
                </m:rPr>
                <m:t>B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rPr>
                      <m:nor m:val="on"/>
                    </m:rPr>
                    <m:t>kh</m:t>
                  </m:r>
                </m:e>
                <m:sub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rPr>
                      <m:nor m:val="on"/>
                    </m:rPr>
                    <m:t>m</m:t>
                  </m:r>
                </m:sub>
              </m:sSub>
            </m:sub>
          </m:sSub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rPr>
              <m:nor m:val="on"/>
            </m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rPr>
                  <m:nor m:val="on"/>
                </m:rPr>
                <m:t>O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 w:bidi="en-US"/>
                </w:rPr>
                <m:rPr>
                  <m:nor m:val="on"/>
                </m:rPr>
                <m:t>b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rPr>
              <m:nor m:val="on"/>
            </m:rPr>
            <m:t> × 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rPr>
                      <m:nor m:val="on"/>
                    </m:rPr>
                    <m:t>D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rPr>
                          <m:nor m:val="on"/>
                        </m:rPr>
                        <m:t>kh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 w:bidi="en-US"/>
                        </w:rPr>
                        <m:rPr>
                          <m:nor m:val="on"/>
                        </m:rPr>
                        <m:t>med</m:t>
                      </m:r>
                    </m:sub>
                  </m:sSub>
                </m:sub>
              </m:sSub>
            </m:num>
            <m:den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rPr>
                  <m:nor m:val="on"/>
                </m:rPr>
                <m:t>100%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rPr>
              <m:nor m:val="on"/>
            </m:rPr>
            <m:t> +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rPr>
              <m:nor m:val="on"/>
            </m:rPr>
            <m:t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rPr>
                  <m:nor m:val="on"/>
                </m:rPr>
                <m:t>D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rPr>
                      <m:nor m:val="on"/>
                    </m:rPr>
                    <m:t>kh</m:t>
                  </m:r>
                </m:e>
                <m:sub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rPr>
                      <m:nor m:val="on"/>
                    </m:rPr>
                    <m:t>m</m:t>
                  </m:r>
                </m:sub>
              </m:sSub>
            </m:sub>
          </m:sSub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rPr>
              <m:nor m:val="on"/>
            </m:rPr>
            <m:t>×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rPr>
              <m:nor m:val="on"/>
            </m:rPr>
            <m:t> 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rPr>
                  <m:nor m:val="on"/>
                </m:rPr>
                <m:t>H</m:t>
              </m:r>
            </m:e>
            <m:sub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rPr>
                  <m:nor m:val="on"/>
                </m:rPr>
                <m:t>N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  <w:lang w:val="en-US"/>
            </w:rPr>
            <m:rPr>
              <m:nor m:val="on"/>
            </m:rPr>
            <m:t>,</m:t>
          </m:r>
        </m:oMath>
      </m:oMathPara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1031"/>
        <w:pBdr/>
        <w:spacing w:line="30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Bdr/>
        <w:tabs>
          <w:tab w:val="left" w:leader="none" w:pos="993"/>
        </w:tabs>
        <w:spacing w:after="0" w:line="30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где: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Bdr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highlight w:val="white"/>
        </w:rPr>
      </w:r>
      <m:oMath>
        <m:sSub>
          <m:sSubPr>
            <m:ctrlPr>
              <w:rPr>
                <w:rFonts w:ascii="Cambria Math" w:hAnsi="Cambria Math" w:eastAsia="Cambria Math" w:cs="Cambria Math"/>
                <w:sz w:val="28"/>
                <w:szCs w:val="28"/>
                <w:highlight w:val="white"/>
                <w:lang w:val="en-US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m:rPr>
                <m:nor m:val="on"/>
              </m:rPr>
              <m:t>O</m:t>
            </m:r>
          </m:e>
          <m:sub>
            <m:r>
              <w:rPr>
                <w:rFonts w:ascii="Cambria Math" w:hAnsi="Cambria Math" w:eastAsia="Cambria Math" w:cs="Cambria Math"/>
                <w:sz w:val="28"/>
                <w:szCs w:val="28"/>
                <w:highlight w:val="white"/>
                <w:lang w:val="en-US" w:bidi="en-US"/>
              </w:rPr>
              <m:rPr>
                <m:nor m:val="on"/>
              </m:rPr>
              <m:t>b</m:t>
            </m:r>
          </m:sub>
        </m:sSub>
      </m:oMath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 базового оклада работников государственных медицинских организаций Республики Татарстан, принимаемый в соответствии с разделом II настоящего Положения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tabs>
          <w:tab w:val="left" w:leader="none" w:pos="993"/>
        </w:tabs>
        <w:spacing w:after="0" w:line="30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rPr>
                <m:nor m:val="on"/>
              </m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rPr>
                    <m:nor m:val="on"/>
                  </m:rPr>
                  <m:t>kh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rPr>
                    <m:nor m:val="on"/>
                  </m:rPr>
                  <m:t>med</m:t>
                </m:r>
              </m:sub>
            </m:sSub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 - размер надбавки за выплату компенсационного характера работникам профессиональных квалификационных групп должностей медицинских и фармацевтических работников государственных медицинских организаций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процентов;</w:t>
      </w:r>
      <w:r/>
    </w:p>
    <w:p>
      <w:pPr>
        <w:pBdr/>
        <w:tabs>
          <w:tab w:val="left" w:leader="none" w:pos="993"/>
        </w:tabs>
        <w:spacing w:after="0" w:line="30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</w:rPr>
              <m:rPr>
                <m:nor m:val="on"/>
              </m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rPr>
                    <m:nor m:val="on"/>
                  </m:rPr>
                  <m:t>kh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rPr>
                    <m:nor m:val="on"/>
                  </m:rPr>
                  <m:t>m</m:t>
                </m:r>
              </m:sub>
            </m:sSub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 - размер выплат компенсационного характера работникам профессиональных квалификационных групп должностей медицинских и фармацевтических работников государственных медицинских организаций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, рублей;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/>
    </w:p>
    <w:p>
      <w:pPr>
        <w:pBdr/>
        <w:tabs>
          <w:tab w:val="left" w:leader="none" w:pos="993"/>
        </w:tabs>
        <w:spacing w:after="0" w:line="30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rPr>
                <m:nor m:val="on"/>
              </m:rPr>
              <m:t>H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rPr>
                <m:nor m:val="on"/>
              </m:rPr>
              <m:t>N</m:t>
            </m:r>
          </m:sub>
        </m:sSub>
      </m:oMath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 - норма часов за базовый оклад работников государственных медицинских организаций Республики Татарстан в соответствии с объемом работы по данной должности (1,0 ставки, 0,75 ставки, 0,5 ставки, 0,25 ставки и др.).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/>
    </w:p>
    <w:p>
      <w:pPr>
        <w:pBdr/>
        <w:tabs>
          <w:tab w:val="left" w:leader="none" w:pos="993"/>
        </w:tabs>
        <w:spacing w:after="0" w:line="30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екомендуемые размеры выплат компенсационного характера за работу в условиях, отклоняющихся от нормальных, работникам профессиональных квалификационных групп должностей медицинских и фармацевтических работников государственных медицинских организаций Респуб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лики Татарстан приведены в приложении № 2 к настоящему Положению.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</w:r>
    </w:p>
    <w:p>
      <w:pPr>
        <w:pBdr/>
        <w:tabs>
          <w:tab w:val="left" w:leader="none" w:pos="993"/>
        </w:tabs>
        <w:spacing w:after="0" w:line="30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графу 4 строки 157 приложения № 4 к указанному Положению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Bdr/>
        <w:tabs>
          <w:tab w:val="left" w:leader="none" w:pos="993"/>
        </w:tabs>
        <w:spacing w:after="0" w:line="30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тделение медицинской помощи несовершеннолетним в образовательных организациях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(медицинский пункт)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  <w14:ligatures w14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Bdr/>
        <w:tabs>
          <w:tab w:val="left" w:leader="none" w:pos="993"/>
        </w:tabs>
        <w:spacing w:after="0" w:line="30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2. </w:t>
      </w:r>
      <w:r>
        <w:rPr>
          <w:rFonts w:ascii="Times New Roman" w:hAnsi="Times New Roman" w:eastAsia="Calibri"/>
          <w:sz w:val="28"/>
          <w:szCs w:val="28"/>
        </w:rPr>
        <w:t xml:space="preserve">Установить, </w:t>
      </w:r>
      <w:r>
        <w:rPr>
          <w:rFonts w:ascii="Times New Roman" w:hAnsi="Times New Roman" w:eastAsia="Calibri"/>
          <w:sz w:val="28"/>
          <w:szCs w:val="28"/>
        </w:rPr>
        <w:t xml:space="preserve">что </w:t>
      </w:r>
      <w:r>
        <w:rPr>
          <w:rFonts w:ascii="Times New Roman" w:hAnsi="Times New Roman" w:eastAsia="Calibri"/>
          <w:sz w:val="28"/>
          <w:szCs w:val="28"/>
        </w:rPr>
        <w:t xml:space="preserve">действие </w:t>
      </w:r>
      <w:r>
        <w:rPr>
          <w:rFonts w:ascii="Times New Roman" w:hAnsi="Times New Roman" w:eastAsia="Calibri"/>
          <w:sz w:val="28"/>
          <w:szCs w:val="28"/>
        </w:rPr>
        <w:t xml:space="preserve">нас</w:t>
      </w:r>
      <w:r>
        <w:rPr>
          <w:rFonts w:ascii="Times New Roman" w:hAnsi="Times New Roman" w:eastAsia="Calibri"/>
          <w:sz w:val="28"/>
          <w:szCs w:val="28"/>
        </w:rPr>
        <w:t xml:space="preserve">тоящего </w:t>
      </w:r>
      <w:r>
        <w:rPr>
          <w:rFonts w:ascii="Times New Roman" w:hAnsi="Times New Roman" w:eastAsia="Calibri"/>
          <w:sz w:val="28"/>
          <w:szCs w:val="28"/>
        </w:rPr>
        <w:t xml:space="preserve">постановления распространяется на правоотношения, возникшие с 1 сентября 202</w:t>
      </w:r>
      <w:r>
        <w:rPr>
          <w:rFonts w:ascii="Times New Roman" w:hAnsi="Times New Roman" w:eastAsia="Calibri"/>
          <w:sz w:val="28"/>
          <w:szCs w:val="28"/>
        </w:rPr>
        <w:t xml:space="preserve">5</w:t>
      </w:r>
      <w:r>
        <w:rPr>
          <w:rFonts w:ascii="Times New Roman" w:hAnsi="Times New Roman" w:eastAsia="Calibri"/>
          <w:sz w:val="28"/>
          <w:szCs w:val="28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14:ligatures w14:val="none"/>
        </w:rPr>
      </w:r>
    </w:p>
    <w:p>
      <w:pPr>
        <w:pStyle w:val="1031"/>
        <w:pBdr/>
        <w:spacing w:line="30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Премьер-министр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Республики Татарстан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А.В.Песошин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  <w:sectPr>
          <w:headerReference w:type="default" r:id="rId9"/>
          <w:headerReference w:type="even" r:id="rId10"/>
          <w:headerReference w:type="first" r:id="rId11"/>
          <w:footerReference w:type="first" r:id="rId14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ОЯСНИТЕЛЬНАЯ ЗАПИСКА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1031"/>
        <w:pBdr/>
        <w:spacing/>
        <w:ind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к проекту постановления Кабинета Министров Республики Татарстан «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внесении изменений в Положение 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утвержденное постановлением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омственных Министерству здравоохранения Республики Татарстан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pStyle w:val="1031"/>
        <w:pBdr/>
        <w:spacing/>
        <w:ind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 постановления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внесении изменений в Положение 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утвержденное постановлением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разработан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соответствии с приказом Министерства здравоохранения Российской Федерации от 14.04.2025 № 213н «Об утверждении порядка оказания несовершеннолетним медицинской помощи, в том числе в период обучения и воспитания в образовательных организациях»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в части корректировки отдельных параметров расчета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 выплат компенсационного характера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Проектом постановления вносятся изменения в Положение об условиях оплаты труда работников медицинских организаций, подведомст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дополнения формулы и ее параметров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выплатам компенсационного характера за работу в условиях, отклоняющихся от нормальных, предоставляемых работникам профессиональных квалификационных групп должностей медицинских и фармацевтических работников государственных медицинских организаций Респу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  <w14:ligatures w14:val="none"/>
        </w:rPr>
        <w:t xml:space="preserve">блики Татарстан,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связи с дополнением кода выплат «69» в Приложение № 2 с процентной единицей измерения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p>
      <w:pPr>
        <w:pStyle w:val="1031"/>
        <w:pBdr/>
        <w:spacing w:line="30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части корректировки наиме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нования отделения «Отделение организации медицинской помощи детям в образовательных организациях» на «Отделение медицинской помощи несовершеннолетним в образовательных организациях (медицинский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пункт)»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приказом Министерства здравоохранения Российской Федерации от 14.04.2025 № 213н «Об утверждении порядка оказания несовершеннолетним медицинской помощи, в том числе в период обучения и воспитания в образовательных организациях»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.</w:t>
      </w:r>
      <w:r>
        <w:rPr>
          <w:highlight w:val="none"/>
        </w:rPr>
      </w:r>
      <w:r/>
    </w:p>
    <w:p>
      <w:pPr>
        <w:pStyle w:val="1031"/>
        <w:pBdr/>
        <w:spacing w:line="30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1031"/>
        <w:pBdr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31"/>
        <w:pBdr/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sectPr>
      <w:headerReference w:type="default" r:id="rId12"/>
      <w:headerReference w:type="first" r:id="rId13"/>
      <w:footnotePr/>
      <w:endnotePr/>
      <w:type w:val="nextPage"/>
      <w:pgSz w:h="16838" w:orient="portrait" w:w="11905"/>
      <w:pgMar w:top="1134" w:right="567" w:bottom="539" w:left="1134" w:header="510" w:footer="709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21"/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Style w:val="1021"/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21"/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Style w:val="1021"/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2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79785014"/>
      <w:docPartObj>
        <w:docPartGallery w:val="Page Numbers (Top of Page)"/>
        <w:docPartUnique w:val="true"/>
      </w:docPartObj>
      <w:rPr/>
    </w:sdtPr>
    <w:sdtContent>
      <w:p>
        <w:pPr>
          <w:pStyle w:val="1023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102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23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3"/>
      <w:pBdr/>
      <w:spacing/>
      <w:ind/>
      <w:jc w:val="center"/>
      <w:rPr/>
    </w:pPr>
    <w:r/>
    <w:r/>
  </w:p>
  <w:p>
    <w:pPr>
      <w:pStyle w:val="102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404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76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548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20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92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64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836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08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805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2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571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9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1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3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5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7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9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1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31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21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abstractNum w:abstractNumId="21">
    <w:nsid w:val="792190D1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2">
    <w:nsid w:val="46F913A2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5"/>
  </w:num>
  <w:num w:numId="5">
    <w:abstractNumId w:val="18"/>
  </w:num>
  <w:num w:numId="6">
    <w:abstractNumId w:val="17"/>
  </w:num>
  <w:num w:numId="7">
    <w:abstractNumId w:val="3"/>
  </w:num>
  <w:num w:numId="8">
    <w:abstractNumId w:val="4"/>
  </w:num>
  <w:num w:numId="9">
    <w:abstractNumId w:val="2"/>
  </w:num>
  <w:num w:numId="10">
    <w:abstractNumId w:val="14"/>
  </w:num>
  <w:num w:numId="11">
    <w:abstractNumId w:val="16"/>
  </w:num>
  <w:num w:numId="12">
    <w:abstractNumId w:val="7"/>
  </w:num>
  <w:num w:numId="13">
    <w:abstractNumId w:val="9"/>
  </w:num>
  <w:num w:numId="14">
    <w:abstractNumId w:val="11"/>
  </w:num>
  <w:num w:numId="15">
    <w:abstractNumId w:val="6"/>
  </w:num>
  <w:num w:numId="16">
    <w:abstractNumId w:val="0"/>
  </w:num>
  <w:num w:numId="17">
    <w:abstractNumId w:val="10"/>
  </w:num>
  <w:num w:numId="18">
    <w:abstractNumId w:val="12"/>
  </w:num>
  <w:num w:numId="19">
    <w:abstractNumId w:val="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7">
    <w:name w:val="Table Grid Light"/>
    <w:basedOn w:val="10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1"/>
    <w:basedOn w:val="10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2"/>
    <w:basedOn w:val="101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1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2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3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4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5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6"/>
    <w:basedOn w:val="10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1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2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3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4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5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6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1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2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3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4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5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6"/>
    <w:basedOn w:val="10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1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2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3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4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5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6"/>
    <w:basedOn w:val="10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2">
    <w:name w:val="Heading 1"/>
    <w:basedOn w:val="1017"/>
    <w:next w:val="1017"/>
    <w:link w:val="9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63">
    <w:name w:val="Heading 2"/>
    <w:basedOn w:val="1017"/>
    <w:next w:val="1017"/>
    <w:link w:val="9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4">
    <w:name w:val="Heading 3"/>
    <w:basedOn w:val="1017"/>
    <w:next w:val="1017"/>
    <w:link w:val="9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5">
    <w:name w:val="Heading 4"/>
    <w:basedOn w:val="1017"/>
    <w:next w:val="1017"/>
    <w:link w:val="9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66">
    <w:name w:val="Heading 5"/>
    <w:basedOn w:val="1017"/>
    <w:next w:val="1017"/>
    <w:link w:val="9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67">
    <w:name w:val="Heading 6"/>
    <w:basedOn w:val="1017"/>
    <w:next w:val="1017"/>
    <w:link w:val="9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8">
    <w:name w:val="Heading 7"/>
    <w:basedOn w:val="1017"/>
    <w:next w:val="1017"/>
    <w:link w:val="9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9">
    <w:name w:val="Heading 8"/>
    <w:basedOn w:val="1017"/>
    <w:next w:val="1017"/>
    <w:link w:val="9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0">
    <w:name w:val="Heading 9"/>
    <w:basedOn w:val="1017"/>
    <w:next w:val="1017"/>
    <w:link w:val="9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1">
    <w:name w:val="Heading 1 Char"/>
    <w:basedOn w:val="1018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2">
    <w:name w:val="Heading 2 Char"/>
    <w:basedOn w:val="1018"/>
    <w:link w:val="9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3">
    <w:name w:val="Heading 3 Char"/>
    <w:basedOn w:val="1018"/>
    <w:link w:val="9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4">
    <w:name w:val="Heading 4 Char"/>
    <w:basedOn w:val="1018"/>
    <w:link w:val="9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5">
    <w:name w:val="Heading 5 Char"/>
    <w:basedOn w:val="1018"/>
    <w:link w:val="9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76">
    <w:name w:val="Heading 6 Char"/>
    <w:basedOn w:val="1018"/>
    <w:link w:val="9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77">
    <w:name w:val="Heading 7 Char"/>
    <w:basedOn w:val="1018"/>
    <w:link w:val="96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78">
    <w:name w:val="Heading 8 Char"/>
    <w:basedOn w:val="1018"/>
    <w:link w:val="9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79">
    <w:name w:val="Heading 9 Char"/>
    <w:basedOn w:val="1018"/>
    <w:link w:val="97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80">
    <w:name w:val="Title"/>
    <w:basedOn w:val="1017"/>
    <w:next w:val="1017"/>
    <w:link w:val="9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81">
    <w:name w:val="Title Char"/>
    <w:basedOn w:val="1018"/>
    <w:link w:val="9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2">
    <w:name w:val="Subtitle"/>
    <w:basedOn w:val="1017"/>
    <w:next w:val="1017"/>
    <w:link w:val="9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3">
    <w:name w:val="Subtitle Char"/>
    <w:basedOn w:val="1018"/>
    <w:link w:val="9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4">
    <w:name w:val="Quote"/>
    <w:basedOn w:val="1017"/>
    <w:next w:val="1017"/>
    <w:link w:val="9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5">
    <w:name w:val="Quote Char"/>
    <w:basedOn w:val="1018"/>
    <w:link w:val="9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86">
    <w:name w:val="Intense Emphasis"/>
    <w:basedOn w:val="10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87">
    <w:name w:val="Intense Quote"/>
    <w:basedOn w:val="1017"/>
    <w:next w:val="1017"/>
    <w:link w:val="9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88">
    <w:name w:val="Intense Quote Char"/>
    <w:basedOn w:val="1018"/>
    <w:link w:val="9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89">
    <w:name w:val="Intense Reference"/>
    <w:basedOn w:val="10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90">
    <w:name w:val="No Spacing"/>
    <w:basedOn w:val="1017"/>
    <w:uiPriority w:val="1"/>
    <w:qFormat/>
    <w:pPr>
      <w:pBdr/>
      <w:spacing w:after="0" w:line="240" w:lineRule="auto"/>
      <w:ind/>
    </w:pPr>
  </w:style>
  <w:style w:type="character" w:styleId="991">
    <w:name w:val="Subtle Emphasis"/>
    <w:basedOn w:val="10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2">
    <w:name w:val="Emphasis"/>
    <w:basedOn w:val="1018"/>
    <w:uiPriority w:val="20"/>
    <w:qFormat/>
    <w:pPr>
      <w:pBdr/>
      <w:spacing/>
      <w:ind/>
    </w:pPr>
    <w:rPr>
      <w:i/>
      <w:iCs/>
    </w:rPr>
  </w:style>
  <w:style w:type="character" w:styleId="993">
    <w:name w:val="Strong"/>
    <w:basedOn w:val="1018"/>
    <w:uiPriority w:val="22"/>
    <w:qFormat/>
    <w:pPr>
      <w:pBdr/>
      <w:spacing/>
      <w:ind/>
    </w:pPr>
    <w:rPr>
      <w:b/>
      <w:bCs/>
    </w:rPr>
  </w:style>
  <w:style w:type="character" w:styleId="994">
    <w:name w:val="Subtle Reference"/>
    <w:basedOn w:val="10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5">
    <w:name w:val="Book Title"/>
    <w:basedOn w:val="10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6">
    <w:name w:val="Header Char"/>
    <w:basedOn w:val="1018"/>
    <w:link w:val="1023"/>
    <w:uiPriority w:val="99"/>
    <w:pPr>
      <w:pBdr/>
      <w:spacing/>
      <w:ind/>
    </w:pPr>
  </w:style>
  <w:style w:type="character" w:styleId="997">
    <w:name w:val="Footer Char"/>
    <w:basedOn w:val="1018"/>
    <w:link w:val="1025"/>
    <w:uiPriority w:val="99"/>
    <w:pPr>
      <w:pBdr/>
      <w:spacing/>
      <w:ind/>
    </w:pPr>
  </w:style>
  <w:style w:type="paragraph" w:styleId="998">
    <w:name w:val="Caption"/>
    <w:basedOn w:val="1017"/>
    <w:next w:val="101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99">
    <w:name w:val="footnote text"/>
    <w:basedOn w:val="1017"/>
    <w:link w:val="10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0">
    <w:name w:val="Footnote Text Char"/>
    <w:basedOn w:val="1018"/>
    <w:link w:val="999"/>
    <w:uiPriority w:val="99"/>
    <w:semiHidden/>
    <w:pPr>
      <w:pBdr/>
      <w:spacing/>
      <w:ind/>
    </w:pPr>
    <w:rPr>
      <w:sz w:val="20"/>
      <w:szCs w:val="20"/>
    </w:rPr>
  </w:style>
  <w:style w:type="character" w:styleId="1001">
    <w:name w:val="footnote reference"/>
    <w:basedOn w:val="1018"/>
    <w:uiPriority w:val="99"/>
    <w:semiHidden/>
    <w:unhideWhenUsed/>
    <w:pPr>
      <w:pBdr/>
      <w:spacing/>
      <w:ind/>
    </w:pPr>
    <w:rPr>
      <w:vertAlign w:val="superscript"/>
    </w:rPr>
  </w:style>
  <w:style w:type="paragraph" w:styleId="1002">
    <w:name w:val="endnote text"/>
    <w:basedOn w:val="1017"/>
    <w:link w:val="10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3">
    <w:name w:val="Endnote Text Char"/>
    <w:basedOn w:val="1018"/>
    <w:link w:val="1002"/>
    <w:uiPriority w:val="99"/>
    <w:semiHidden/>
    <w:pPr>
      <w:pBdr/>
      <w:spacing/>
      <w:ind/>
    </w:pPr>
    <w:rPr>
      <w:sz w:val="20"/>
      <w:szCs w:val="20"/>
    </w:rPr>
  </w:style>
  <w:style w:type="character" w:styleId="1004">
    <w:name w:val="endnote reference"/>
    <w:basedOn w:val="1018"/>
    <w:uiPriority w:val="99"/>
    <w:semiHidden/>
    <w:unhideWhenUsed/>
    <w:pPr>
      <w:pBdr/>
      <w:spacing/>
      <w:ind/>
    </w:pPr>
    <w:rPr>
      <w:vertAlign w:val="superscript"/>
    </w:rPr>
  </w:style>
  <w:style w:type="character" w:styleId="1005">
    <w:name w:val="FollowedHyperlink"/>
    <w:basedOn w:val="101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6">
    <w:name w:val="toc 1"/>
    <w:basedOn w:val="1017"/>
    <w:next w:val="1017"/>
    <w:uiPriority w:val="39"/>
    <w:unhideWhenUsed/>
    <w:pPr>
      <w:pBdr/>
      <w:spacing w:after="100"/>
      <w:ind/>
    </w:pPr>
  </w:style>
  <w:style w:type="paragraph" w:styleId="1007">
    <w:name w:val="toc 2"/>
    <w:basedOn w:val="1017"/>
    <w:next w:val="1017"/>
    <w:uiPriority w:val="39"/>
    <w:unhideWhenUsed/>
    <w:pPr>
      <w:pBdr/>
      <w:spacing w:after="100"/>
      <w:ind w:left="220"/>
    </w:pPr>
  </w:style>
  <w:style w:type="paragraph" w:styleId="1008">
    <w:name w:val="toc 3"/>
    <w:basedOn w:val="1017"/>
    <w:next w:val="1017"/>
    <w:uiPriority w:val="39"/>
    <w:unhideWhenUsed/>
    <w:pPr>
      <w:pBdr/>
      <w:spacing w:after="100"/>
      <w:ind w:left="440"/>
    </w:pPr>
  </w:style>
  <w:style w:type="paragraph" w:styleId="1009">
    <w:name w:val="toc 4"/>
    <w:basedOn w:val="1017"/>
    <w:next w:val="1017"/>
    <w:uiPriority w:val="39"/>
    <w:unhideWhenUsed/>
    <w:pPr>
      <w:pBdr/>
      <w:spacing w:after="100"/>
      <w:ind w:left="660"/>
    </w:pPr>
  </w:style>
  <w:style w:type="paragraph" w:styleId="1010">
    <w:name w:val="toc 5"/>
    <w:basedOn w:val="1017"/>
    <w:next w:val="1017"/>
    <w:uiPriority w:val="39"/>
    <w:unhideWhenUsed/>
    <w:pPr>
      <w:pBdr/>
      <w:spacing w:after="100"/>
      <w:ind w:left="880"/>
    </w:pPr>
  </w:style>
  <w:style w:type="paragraph" w:styleId="1011">
    <w:name w:val="toc 6"/>
    <w:basedOn w:val="1017"/>
    <w:next w:val="1017"/>
    <w:uiPriority w:val="39"/>
    <w:unhideWhenUsed/>
    <w:pPr>
      <w:pBdr/>
      <w:spacing w:after="100"/>
      <w:ind w:left="1100"/>
    </w:pPr>
  </w:style>
  <w:style w:type="paragraph" w:styleId="1012">
    <w:name w:val="toc 7"/>
    <w:basedOn w:val="1017"/>
    <w:next w:val="1017"/>
    <w:uiPriority w:val="39"/>
    <w:unhideWhenUsed/>
    <w:pPr>
      <w:pBdr/>
      <w:spacing w:after="100"/>
      <w:ind w:left="1320"/>
    </w:pPr>
  </w:style>
  <w:style w:type="paragraph" w:styleId="1013">
    <w:name w:val="toc 8"/>
    <w:basedOn w:val="1017"/>
    <w:next w:val="1017"/>
    <w:uiPriority w:val="39"/>
    <w:unhideWhenUsed/>
    <w:pPr>
      <w:pBdr/>
      <w:spacing w:after="100"/>
      <w:ind w:left="1540"/>
    </w:pPr>
  </w:style>
  <w:style w:type="paragraph" w:styleId="1014">
    <w:name w:val="toc 9"/>
    <w:basedOn w:val="1017"/>
    <w:next w:val="1017"/>
    <w:uiPriority w:val="39"/>
    <w:unhideWhenUsed/>
    <w:pPr>
      <w:pBdr/>
      <w:spacing w:after="100"/>
      <w:ind w:left="1760"/>
    </w:pPr>
  </w:style>
  <w:style w:type="paragraph" w:styleId="1015">
    <w:name w:val="TOC Heading"/>
    <w:uiPriority w:val="39"/>
    <w:unhideWhenUsed/>
    <w:pPr>
      <w:pBdr/>
      <w:spacing/>
      <w:ind/>
    </w:pPr>
  </w:style>
  <w:style w:type="paragraph" w:styleId="1016">
    <w:name w:val="table of figures"/>
    <w:basedOn w:val="1017"/>
    <w:next w:val="1017"/>
    <w:uiPriority w:val="99"/>
    <w:unhideWhenUsed/>
    <w:pPr>
      <w:pBdr/>
      <w:spacing w:after="0" w:afterAutospacing="0"/>
      <w:ind/>
    </w:pPr>
  </w:style>
  <w:style w:type="paragraph" w:styleId="1017" w:default="1">
    <w:name w:val="Normal"/>
    <w:qFormat/>
    <w:pPr>
      <w:pBdr/>
      <w:spacing/>
      <w:ind/>
    </w:pPr>
  </w:style>
  <w:style w:type="character" w:styleId="1018" w:default="1">
    <w:name w:val="Default Paragraph Font"/>
    <w:uiPriority w:val="1"/>
    <w:semiHidden/>
    <w:unhideWhenUsed/>
    <w:pPr>
      <w:pBdr/>
      <w:spacing/>
      <w:ind/>
    </w:pPr>
  </w:style>
  <w:style w:type="table" w:styleId="101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 w:default="1">
    <w:name w:val="No List"/>
    <w:uiPriority w:val="99"/>
    <w:semiHidden/>
    <w:unhideWhenUsed/>
    <w:pPr>
      <w:pBdr/>
      <w:spacing/>
      <w:ind/>
    </w:pPr>
  </w:style>
  <w:style w:type="paragraph" w:styleId="1021">
    <w:name w:val="List Paragraph"/>
    <w:basedOn w:val="1017"/>
    <w:uiPriority w:val="34"/>
    <w:qFormat/>
    <w:pPr>
      <w:pBdr/>
      <w:spacing/>
      <w:ind w:left="720"/>
      <w:contextualSpacing w:val="true"/>
    </w:pPr>
  </w:style>
  <w:style w:type="table" w:styleId="1022">
    <w:name w:val="Table Grid"/>
    <w:basedOn w:val="1019"/>
    <w:uiPriority w:val="3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3">
    <w:name w:val="Header"/>
    <w:basedOn w:val="1017"/>
    <w:link w:val="102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4" w:customStyle="1">
    <w:name w:val="Верхний колонтитул Знак"/>
    <w:basedOn w:val="1018"/>
    <w:link w:val="1023"/>
    <w:uiPriority w:val="99"/>
    <w:pPr>
      <w:pBdr/>
      <w:spacing/>
      <w:ind/>
    </w:pPr>
  </w:style>
  <w:style w:type="paragraph" w:styleId="1025">
    <w:name w:val="Footer"/>
    <w:basedOn w:val="1017"/>
    <w:link w:val="102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26" w:customStyle="1">
    <w:name w:val="Нижний колонтитул Знак"/>
    <w:basedOn w:val="1018"/>
    <w:link w:val="1025"/>
    <w:uiPriority w:val="99"/>
    <w:pPr>
      <w:pBdr/>
      <w:spacing/>
      <w:ind/>
    </w:pPr>
  </w:style>
  <w:style w:type="paragraph" w:styleId="1027">
    <w:name w:val="Document Map"/>
    <w:basedOn w:val="1017"/>
    <w:link w:val="1028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28" w:customStyle="1">
    <w:name w:val="Схема документа Знак"/>
    <w:basedOn w:val="1018"/>
    <w:link w:val="102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29">
    <w:name w:val="Balloon Text"/>
    <w:basedOn w:val="1017"/>
    <w:link w:val="103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30" w:customStyle="1">
    <w:name w:val="Текст выноски Знак"/>
    <w:basedOn w:val="1018"/>
    <w:link w:val="102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31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1032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character" w:styleId="1033">
    <w:name w:val="Hyperlink"/>
    <w:basedOn w:val="101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34">
    <w:name w:val="Placeholder Text"/>
    <w:basedOn w:val="1018"/>
    <w:uiPriority w:val="99"/>
    <w:semiHidden/>
    <w:pPr>
      <w:pBdr/>
      <w:spacing/>
      <w:ind/>
    </w:pPr>
    <w:rPr>
      <w:color w:val="666666"/>
    </w:rPr>
  </w:style>
  <w:style w:type="character" w:styleId="1035" w:customStyle="1">
    <w:name w:val="Неразрешенное упоминание1"/>
    <w:basedOn w:val="101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A0689-3A96-46ED-9C65-5DC76DB2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mitrofanova</dc:creator>
  <cp:revision>40</cp:revision>
  <dcterms:created xsi:type="dcterms:W3CDTF">2024-09-05T07:07:00Z</dcterms:created>
  <dcterms:modified xsi:type="dcterms:W3CDTF">2025-10-20T07:22:55Z</dcterms:modified>
</cp:coreProperties>
</file>