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264" w:lineRule="auto"/>
        <w:ind w:right="4961" w:firstLine="0" w:left="0"/>
        <w:jc w:val="both"/>
        <w:rPr/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корректирующие (поправочные) коэффициенты к объему финансового обеспечения выполнения государственного задания государствен-ными организациями Республики Татарстан, реализующими дополнительные образовательные программы спортивной подготовки, на 2025 год и </w:t>
      </w:r>
      <w:r>
        <w:rPr>
          <w:rFonts w:ascii="Times New Roman" w:hAnsi="Times New Roman"/>
          <w:sz w:val="28"/>
          <w:szCs w:val="28"/>
          <w:highlight w:val="none"/>
        </w:rPr>
        <w:t xml:space="preserve">на плановый период 2026 и 2027 годов, утвержденные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18.09.2024 № 807</w:t>
      </w:r>
      <w:r>
        <w:rPr>
          <w:rFonts w:ascii="Times New Roman" w:hAnsi="Times New Roman"/>
          <w:sz w:val="28"/>
          <w:szCs w:val="28"/>
          <w:highlight w:val="none"/>
        </w:rPr>
        <w:t xml:space="preserve"> «Об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6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подготовки, на 2025 год и на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утвержденные постановлением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подготовки, на 2025 год и на плано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64" w:lineRule="auto"/>
        <w:ind w:right="0" w:firstLine="709" w:left="0"/>
        <w:jc w:val="both"/>
        <w:rPr>
          <w:rFonts w:ascii="Times New Roman" w:hAnsi="Times New Roman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 строки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Государственное бюджетное учреждение дополнительного образования «Республиканская спортивная школа олимпийского резерва по бадминтону Ф.Г.Валеева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 цифры «1,27766» заменить цифрами «2,30995»;</w:t>
      </w:r>
      <w:r>
        <w:rPr>
          <w:rFonts w:ascii="Times New Roman" w:hAnsi="Times New Roman"/>
          <w:highlight w:val="none"/>
          <w:lang w:eastAsia="ru-RU"/>
          <w14:ligatures w14:val="none"/>
        </w:rPr>
      </w:r>
      <w:r>
        <w:rPr>
          <w:rFonts w:ascii="Times New Roman" w:hAnsi="Times New Roman"/>
          <w:highlight w:val="none"/>
          <w:lang w:eastAsia="ru-RU"/>
          <w14:ligatures w14:val="none"/>
        </w:rPr>
      </w:r>
    </w:p>
    <w:p>
      <w:pPr>
        <w:pBdr/>
        <w:spacing w:after="0" w:line="264" w:lineRule="auto"/>
        <w:ind w:right="0" w:firstLine="709" w:left="0"/>
        <w:jc w:val="both"/>
        <w:rPr>
          <w:rFonts w:ascii="Times New Roman" w:hAnsi="Times New Roman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2 строки «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бюджетное учреждение дополнительного образования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Республиканская спортивная школа по гольфу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«2,03705» заменить цифрами «1,97490»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highlight w:val="none"/>
          <w:lang w:eastAsia="ru-RU"/>
          <w14:ligatures w14:val="none"/>
        </w:rPr>
      </w:r>
      <w:r>
        <w:rPr>
          <w:rFonts w:ascii="Times New Roman" w:hAnsi="Times New Roman"/>
          <w:highlight w:val="none"/>
          <w:lang w:eastAsia="ru-RU"/>
          <w14:ligatures w14:val="none"/>
        </w:rPr>
      </w:r>
    </w:p>
    <w:p>
      <w:pPr>
        <w:pStyle w:val="960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изменений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ые образовательные программы спортивной подготовки,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</w:t>
      </w:r>
      <w:r>
        <w:rPr>
          <w:rFonts w:ascii="Times New Roman" w:hAnsi="Times New Roman"/>
          <w:sz w:val="28"/>
          <w:szCs w:val="28"/>
          <w:highlight w:val="none"/>
        </w:rPr>
        <w:t xml:space="preserve">ые образовательные программы спортивной подготовки,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28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1.202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137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дополнительного образования «Республиканская спортивная школа олимпийского резерва по бадминтону Ф.Г.Валеева»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</w:t>
      </w:r>
      <w:r>
        <w:rPr>
          <w:rFonts w:ascii="Times New Roman" w:hAnsi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</w:rPr>
        <w:t xml:space="preserve"> ДО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РСШОР </w:t>
      </w:r>
      <w:r>
        <w:rPr>
          <w:rFonts w:ascii="Times New Roman" w:hAnsi="Times New Roman"/>
          <w:sz w:val="28"/>
          <w:szCs w:val="28"/>
          <w:highlight w:val="none"/>
        </w:rPr>
        <w:t xml:space="preserve">по бадминтону Ф.Г.Валеева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открытием филиала в Алексеев</w:t>
      </w:r>
      <w:r>
        <w:rPr>
          <w:rFonts w:ascii="Times New Roman" w:hAnsi="Times New Roman"/>
          <w:sz w:val="28"/>
          <w:szCs w:val="28"/>
          <w:highlight w:val="none"/>
        </w:rPr>
        <w:t xml:space="preserve">ском муниципальном районе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29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1122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дополнительного образования «Республиканская спортивная школа олимпийского резерва по бадминтону Ф.Г.Валеева»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</w:t>
      </w:r>
      <w:r>
        <w:rPr>
          <w:rFonts w:ascii="Times New Roman" w:hAnsi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</w:rPr>
        <w:t xml:space="preserve"> ДО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РСШОР </w:t>
      </w:r>
      <w:r>
        <w:rPr>
          <w:rFonts w:ascii="Times New Roman" w:hAnsi="Times New Roman"/>
          <w:sz w:val="28"/>
          <w:szCs w:val="28"/>
          <w:highlight w:val="none"/>
        </w:rPr>
        <w:t xml:space="preserve">по бадминтону Ф.Г.Валеева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уплаты налога на имущество организаций и земельного налога в связи с открытием филиала в Алексеевском муниципальном районе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30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1138</w:t>
      </w:r>
      <w:r>
        <w:rPr>
          <w:rFonts w:ascii="Times New Roman" w:hAnsi="Times New Roman"/>
          <w:sz w:val="28"/>
          <w:szCs w:val="28"/>
          <w:highlight w:val="none"/>
        </w:rPr>
        <w:t xml:space="preserve">-р </w:t>
      </w:r>
      <w:r>
        <w:rPr>
          <w:rFonts w:ascii="Times New Roman" w:hAnsi="Times New Roman"/>
          <w:sz w:val="28"/>
          <w:szCs w:val="28"/>
          <w:highlight w:val="none"/>
        </w:rPr>
        <w:t xml:space="preserve">об уменьшении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бюджетного учреждения дополнительного образования «Республиканская спортивная школа олимпийского резерва по гольфу» (далее – ГБУ ДО «РСШОР по гольфу»)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финансового обеспечения расходов, связанных с ведением централизованного бухгалтерского учета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орректирующие (поправочные) коэффициенты к объему финансового обеспечения выполнения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ГБУ ДО «РСШОР по бадминтону Ф.Г.Валеева»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ГБУ ДО «РСШОР по гольфу»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на 2025 год и 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плановый период 2026 и 2027 годов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643</cp:revision>
  <dcterms:created xsi:type="dcterms:W3CDTF">2016-09-30T12:20:00Z</dcterms:created>
  <dcterms:modified xsi:type="dcterms:W3CDTF">2025-10-03T11:39:47Z</dcterms:modified>
  <cp:version>1048576</cp:version>
</cp:coreProperties>
</file>