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D3" w:rsidRDefault="009273F0">
      <w:pPr>
        <w:pStyle w:val="a1"/>
        <w:ind w:left="7427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проект</w:t>
      </w:r>
    </w:p>
    <w:p w:rsidR="004D56D3" w:rsidRDefault="004D56D3">
      <w:pPr>
        <w:pStyle w:val="a1"/>
        <w:ind w:left="7427"/>
        <w:jc w:val="left"/>
        <w:rPr>
          <w:rFonts w:ascii="Times New Roman" w:hAnsi="Times New Roman"/>
          <w:szCs w:val="28"/>
        </w:rPr>
      </w:pPr>
    </w:p>
    <w:p w:rsidR="002E24CD" w:rsidRPr="00F07B2D" w:rsidRDefault="002E24CD" w:rsidP="002E24CD">
      <w:pPr>
        <w:autoSpaceDE w:val="0"/>
        <w:autoSpaceDN w:val="0"/>
        <w:adjustRightInd w:val="0"/>
        <w:outlineLvl w:val="0"/>
        <w:rPr>
          <w:i/>
          <w:color w:val="FF0000"/>
          <w:szCs w:val="28"/>
          <w:u w:val="single"/>
          <w:lang w:val="tt-RU"/>
        </w:rPr>
      </w:pPr>
      <w:r w:rsidRPr="00F07B2D">
        <w:rPr>
          <w:i/>
          <w:color w:val="FF0000"/>
          <w:szCs w:val="28"/>
          <w:u w:val="single"/>
          <w:lang w:val="tt-RU"/>
        </w:rPr>
        <w:t>Срок проведения независимой</w:t>
      </w:r>
    </w:p>
    <w:p w:rsidR="002E24CD" w:rsidRPr="00F07B2D" w:rsidRDefault="002E24CD" w:rsidP="002E24CD">
      <w:pPr>
        <w:autoSpaceDE w:val="0"/>
        <w:autoSpaceDN w:val="0"/>
        <w:adjustRightInd w:val="0"/>
        <w:outlineLvl w:val="0"/>
        <w:rPr>
          <w:i/>
          <w:color w:val="FF0000"/>
          <w:szCs w:val="28"/>
          <w:u w:val="single"/>
          <w:lang w:val="tt-RU"/>
        </w:rPr>
      </w:pPr>
      <w:r w:rsidRPr="00F07B2D">
        <w:rPr>
          <w:i/>
          <w:color w:val="FF0000"/>
          <w:szCs w:val="28"/>
          <w:u w:val="single"/>
          <w:lang w:val="tt-RU"/>
        </w:rPr>
        <w:t>антикоррупционной экспертизы проекта –</w:t>
      </w:r>
    </w:p>
    <w:p w:rsidR="002E24CD" w:rsidRPr="00F07B2D" w:rsidRDefault="002E24CD" w:rsidP="002E24CD">
      <w:pPr>
        <w:autoSpaceDE w:val="0"/>
        <w:autoSpaceDN w:val="0"/>
        <w:adjustRightInd w:val="0"/>
        <w:outlineLvl w:val="0"/>
        <w:rPr>
          <w:i/>
          <w:color w:val="FF0000"/>
          <w:szCs w:val="28"/>
          <w:u w:val="single"/>
          <w:lang w:val="tt-RU"/>
        </w:rPr>
      </w:pPr>
      <w:r>
        <w:rPr>
          <w:i/>
          <w:color w:val="FF0000"/>
          <w:szCs w:val="28"/>
          <w:u w:val="single"/>
          <w:lang w:val="tt-RU"/>
        </w:rPr>
        <w:t xml:space="preserve">с </w:t>
      </w:r>
      <w:r>
        <w:rPr>
          <w:i/>
          <w:color w:val="FF0000"/>
          <w:szCs w:val="28"/>
          <w:u w:val="single"/>
          <w:lang w:val="tt-RU"/>
        </w:rPr>
        <w:t xml:space="preserve"> 23 по 30 сентября </w:t>
      </w:r>
      <w:bookmarkStart w:id="0" w:name="_GoBack"/>
      <w:bookmarkEnd w:id="0"/>
      <w:r>
        <w:rPr>
          <w:i/>
          <w:color w:val="FF0000"/>
          <w:szCs w:val="28"/>
          <w:u w:val="single"/>
          <w:lang w:val="tt-RU"/>
        </w:rPr>
        <w:t>2025</w:t>
      </w:r>
      <w:r w:rsidRPr="00F07B2D">
        <w:rPr>
          <w:i/>
          <w:color w:val="FF0000"/>
          <w:szCs w:val="28"/>
          <w:u w:val="single"/>
          <w:lang w:val="tt-RU"/>
        </w:rPr>
        <w:t xml:space="preserve"> года включительно.</w:t>
      </w:r>
    </w:p>
    <w:p w:rsidR="002E24CD" w:rsidRPr="00F07B2D" w:rsidRDefault="002E24CD" w:rsidP="002E24CD">
      <w:pPr>
        <w:autoSpaceDE w:val="0"/>
        <w:autoSpaceDN w:val="0"/>
        <w:adjustRightInd w:val="0"/>
        <w:outlineLvl w:val="0"/>
        <w:rPr>
          <w:i/>
          <w:color w:val="FF0000"/>
          <w:szCs w:val="28"/>
          <w:u w:val="single"/>
          <w:lang w:val="tt-RU"/>
        </w:rPr>
      </w:pPr>
      <w:r w:rsidRPr="00F07B2D">
        <w:rPr>
          <w:i/>
          <w:color w:val="FF0000"/>
          <w:szCs w:val="28"/>
          <w:u w:val="single"/>
          <w:lang w:val="tt-RU"/>
        </w:rPr>
        <w:t xml:space="preserve">О внесении предложений в проект обращаться к начальнику отдела методологии и формирования муниципальных имущественных отношений </w:t>
      </w:r>
      <w:r>
        <w:rPr>
          <w:i/>
          <w:color w:val="FF0000"/>
          <w:szCs w:val="28"/>
          <w:u w:val="single"/>
          <w:lang w:val="tt-RU"/>
        </w:rPr>
        <w:t xml:space="preserve">                 </w:t>
      </w:r>
      <w:r w:rsidRPr="00F07B2D">
        <w:rPr>
          <w:i/>
          <w:color w:val="FF0000"/>
          <w:szCs w:val="28"/>
          <w:u w:val="single"/>
          <w:lang w:val="tt-RU"/>
        </w:rPr>
        <w:t xml:space="preserve">Евченко И.Г. </w:t>
      </w:r>
    </w:p>
    <w:p w:rsidR="002E24CD" w:rsidRPr="00F07B2D" w:rsidRDefault="002E24CD" w:rsidP="002E24CD">
      <w:pPr>
        <w:autoSpaceDE w:val="0"/>
        <w:autoSpaceDN w:val="0"/>
        <w:adjustRightInd w:val="0"/>
        <w:outlineLvl w:val="0"/>
        <w:rPr>
          <w:i/>
          <w:color w:val="FF0000"/>
          <w:szCs w:val="28"/>
          <w:u w:val="single"/>
          <w:lang w:val="tt-RU"/>
        </w:rPr>
      </w:pPr>
      <w:r w:rsidRPr="00F07B2D">
        <w:rPr>
          <w:i/>
          <w:color w:val="FF0000"/>
          <w:szCs w:val="28"/>
          <w:u w:val="single"/>
          <w:lang w:val="tt-RU"/>
        </w:rPr>
        <w:t>по тел.:(843) 221-40-16 (Inna.Evchenko@tatar.ru)</w:t>
      </w:r>
    </w:p>
    <w:p w:rsidR="004D56D3" w:rsidRPr="002E24CD" w:rsidRDefault="004D56D3">
      <w:pPr>
        <w:pStyle w:val="a1"/>
        <w:rPr>
          <w:rFonts w:ascii="Times New Roman" w:hAnsi="Times New Roman"/>
          <w:szCs w:val="28"/>
          <w:lang w:val="tt-RU"/>
        </w:rPr>
      </w:pPr>
    </w:p>
    <w:p w:rsidR="004D56D3" w:rsidRDefault="004D56D3">
      <w:pPr>
        <w:pStyle w:val="a1"/>
        <w:rPr>
          <w:rFonts w:ascii="Times New Roman" w:hAnsi="Times New Roman"/>
          <w:szCs w:val="28"/>
        </w:rPr>
      </w:pPr>
    </w:p>
    <w:p w:rsidR="004D56D3" w:rsidRDefault="009273F0">
      <w:pPr>
        <w:pStyle w:val="a1"/>
        <w:jc w:val="center"/>
      </w:pPr>
      <w:r>
        <w:rPr>
          <w:rFonts w:ascii="Times New Roman" w:hAnsi="Times New Roman"/>
          <w:szCs w:val="28"/>
        </w:rPr>
        <w:t>ЗАКОН</w:t>
      </w:r>
    </w:p>
    <w:p w:rsidR="004D56D3" w:rsidRDefault="009273F0">
      <w:pPr>
        <w:pStyle w:val="a1"/>
        <w:jc w:val="center"/>
      </w:pPr>
      <w:r>
        <w:rPr>
          <w:rFonts w:ascii="Times New Roman" w:hAnsi="Times New Roman"/>
          <w:szCs w:val="28"/>
        </w:rPr>
        <w:t>РЕСПУБЛИКИ ТАТАРСТАН</w:t>
      </w:r>
    </w:p>
    <w:p w:rsidR="004D56D3" w:rsidRDefault="004D56D3">
      <w:pPr>
        <w:pStyle w:val="a1"/>
        <w:jc w:val="center"/>
        <w:rPr>
          <w:rFonts w:ascii="Times New Roman" w:hAnsi="Times New Roman"/>
          <w:szCs w:val="28"/>
        </w:rPr>
      </w:pPr>
    </w:p>
    <w:p w:rsidR="004D56D3" w:rsidRDefault="004D56D3">
      <w:pPr>
        <w:pStyle w:val="a1"/>
        <w:jc w:val="center"/>
        <w:rPr>
          <w:rFonts w:ascii="Times New Roman" w:hAnsi="Times New Roman"/>
          <w:szCs w:val="28"/>
        </w:rPr>
      </w:pPr>
    </w:p>
    <w:p w:rsidR="004D56D3" w:rsidRDefault="009273F0">
      <w:pPr>
        <w:ind w:right="-1"/>
        <w:rPr>
          <w:rFonts w:ascii="Times New Roman" w:eastAsia="Times New Roman" w:hAnsi="Times New Roman" w:cs="Times New Roman"/>
          <w:b/>
          <w:bCs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8"/>
          <w:lang w:bidi="ar-SA"/>
        </w:rPr>
        <w:t>О внесении изменений в статьи 32 и 32¹</w:t>
      </w:r>
    </w:p>
    <w:p w:rsidR="004D56D3" w:rsidRDefault="009273F0">
      <w:pPr>
        <w:ind w:right="-1"/>
        <w:rPr>
          <w:rFonts w:ascii="Times New Roman" w:eastAsia="Times New Roman" w:hAnsi="Times New Roman" w:cs="Times New Roman"/>
          <w:b/>
          <w:bCs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8"/>
          <w:lang w:bidi="ar-SA"/>
        </w:rPr>
        <w:t>Земельного кодекса Республики Татарстан</w:t>
      </w:r>
    </w:p>
    <w:p w:rsidR="004D56D3" w:rsidRDefault="004D56D3">
      <w:pPr>
        <w:ind w:firstLine="709"/>
        <w:rPr>
          <w:rFonts w:eastAsia="Times New Roman" w:cs="Calibri"/>
          <w:kern w:val="0"/>
          <w:lang w:bidi="ar-SA"/>
        </w:rPr>
      </w:pPr>
    </w:p>
    <w:p w:rsidR="004D56D3" w:rsidRDefault="004D56D3">
      <w:pPr>
        <w:ind w:firstLine="709"/>
        <w:rPr>
          <w:rFonts w:eastAsia="Times New Roman" w:cs="Calibri"/>
          <w:kern w:val="0"/>
          <w:lang w:bidi="ar-SA"/>
        </w:rPr>
      </w:pPr>
    </w:p>
    <w:p w:rsidR="004D56D3" w:rsidRDefault="009273F0">
      <w:pPr>
        <w:pStyle w:val="a1"/>
        <w:overflowPunct/>
        <w:ind w:firstLine="737"/>
      </w:pPr>
      <w:r>
        <w:rPr>
          <w:rFonts w:ascii="Times New Roman" w:eastAsia="Times New Roman" w:hAnsi="Times New Roman" w:cs="Calibri"/>
          <w:b/>
          <w:bCs/>
          <w:color w:val="000000"/>
          <w:kern w:val="0"/>
          <w:szCs w:val="28"/>
          <w:lang w:bidi="ar-SA"/>
        </w:rPr>
        <w:t>Статья 1</w:t>
      </w:r>
    </w:p>
    <w:p w:rsidR="004D56D3" w:rsidRDefault="004D56D3">
      <w:pPr>
        <w:ind w:firstLine="709"/>
        <w:jc w:val="both"/>
        <w:rPr>
          <w:rFonts w:ascii="Times New Roman" w:hAnsi="Times New Roman"/>
          <w:szCs w:val="28"/>
        </w:rPr>
      </w:pPr>
    </w:p>
    <w:p w:rsidR="004D56D3" w:rsidRDefault="009273F0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 xml:space="preserve">Внести в Земельный кодекс Республики Татарстан (в редакции Закона </w:t>
      </w:r>
      <w:r>
        <w:rPr>
          <w:rFonts w:ascii="Times New Roman" w:hAnsi="Times New Roman" w:cs="Times New Roman"/>
          <w:color w:val="000000" w:themeColor="text1"/>
          <w:szCs w:val="28"/>
        </w:rPr>
        <w:t>Республики Татарстан от 18 января 2005 года № 4-ЗРТ) (Ведомости Государственного Совета Татарстана, 1998, № 8 (II часть); 2005, № 1 (I часть), № 12</w:t>
      </w:r>
      <w:r>
        <w:rPr>
          <w:rFonts w:ascii="Times New Roman" w:hAnsi="Times New Roman" w:cs="Times New Roman"/>
          <w:color w:val="000000" w:themeColor="text1"/>
          <w:szCs w:val="28"/>
        </w:rPr>
        <w:br/>
        <w:t>(I часть); 2006, № 7 (I часть); 2007, № 1 (I часть), № 4; 2008, № 5 (I часть); 2009,</w:t>
      </w:r>
      <w:r>
        <w:rPr>
          <w:rFonts w:ascii="Times New Roman" w:hAnsi="Times New Roman" w:cs="Times New Roman"/>
          <w:color w:val="000000" w:themeColor="text1"/>
          <w:szCs w:val="28"/>
        </w:rPr>
        <w:br/>
        <w:t>№ 7 – 8 (III часть); 20</w:t>
      </w:r>
      <w:r>
        <w:rPr>
          <w:rFonts w:ascii="Times New Roman" w:hAnsi="Times New Roman" w:cs="Times New Roman"/>
          <w:color w:val="000000" w:themeColor="text1"/>
          <w:szCs w:val="28"/>
        </w:rPr>
        <w:t>10, № 11; 2011, № 11 (I часть); 2012, № 3, № 5 (I часть); 2013,</w:t>
      </w:r>
      <w:r>
        <w:rPr>
          <w:rFonts w:ascii="Times New Roman" w:hAnsi="Times New Roman" w:cs="Times New Roman"/>
          <w:color w:val="000000" w:themeColor="text1"/>
          <w:szCs w:val="28"/>
        </w:rPr>
        <w:br/>
        <w:t>№ 1; 2014, № 3, № 5, № 6 (II часть), № 7, № 12 (II часть); 2015, № 7 (I часть),</w:t>
      </w:r>
      <w:r>
        <w:rPr>
          <w:rFonts w:ascii="Times New Roman" w:hAnsi="Times New Roman" w:cs="Times New Roman"/>
          <w:color w:val="000000" w:themeColor="text1"/>
          <w:szCs w:val="28"/>
        </w:rPr>
        <w:br/>
        <w:t>№ 10 (I часть); 2016, № 5; Собрание законодательства Республики Татарстан, 2016, № 40 (часть I); 2017, № 41 (час</w:t>
      </w:r>
      <w:r>
        <w:rPr>
          <w:rFonts w:ascii="Times New Roman" w:hAnsi="Times New Roman" w:cs="Times New Roman"/>
          <w:color w:val="000000" w:themeColor="text1"/>
          <w:szCs w:val="28"/>
        </w:rPr>
        <w:t>ть I), № 52 (часть I), № 76 (часть I); 2018, № 1 (часть I), № 22 (часть I), № 78 (часть I); 2019, № 2 (часть I), № 60 (часть I); 2020, № 77</w:t>
      </w:r>
      <w:r>
        <w:rPr>
          <w:rFonts w:ascii="Times New Roman" w:hAnsi="Times New Roman" w:cs="Times New Roman"/>
          <w:color w:val="000000" w:themeColor="text1"/>
          <w:szCs w:val="28"/>
        </w:rPr>
        <w:br/>
        <w:t>(часть I); 2021, № 1 (часть I), № 20 (часть I), № 29 (часть I), № 57 (часть I), № 77</w:t>
      </w:r>
      <w:r>
        <w:rPr>
          <w:rFonts w:ascii="Times New Roman" w:hAnsi="Times New Roman" w:cs="Times New Roman"/>
          <w:color w:val="000000" w:themeColor="text1"/>
          <w:szCs w:val="28"/>
        </w:rPr>
        <w:br/>
        <w:t>(часть I), № 93 (часть I); 2022</w:t>
      </w:r>
      <w:r>
        <w:rPr>
          <w:rFonts w:ascii="Times New Roman" w:hAnsi="Times New Roman" w:cs="Times New Roman"/>
          <w:color w:val="000000" w:themeColor="text1"/>
          <w:szCs w:val="28"/>
        </w:rPr>
        <w:t>, № 3 (часть I), № 17 (часть I), № 57 (часть I), № 77</w:t>
      </w:r>
      <w:r>
        <w:rPr>
          <w:rFonts w:ascii="Times New Roman" w:hAnsi="Times New Roman" w:cs="Times New Roman"/>
          <w:color w:val="000000" w:themeColor="text1"/>
          <w:szCs w:val="28"/>
        </w:rPr>
        <w:br/>
        <w:t xml:space="preserve">(часть I), № 83 (часть I); 2023, № 11 (часть I), № 27 (часть I), № 56 (часть </w:t>
      </w:r>
      <w:r>
        <w:rPr>
          <w:rFonts w:ascii="Times New Roman" w:hAnsi="Times New Roman" w:cs="Times New Roman"/>
          <w:color w:val="000000" w:themeColor="text1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Cs w:val="28"/>
        </w:rPr>
        <w:t>), №</w:t>
      </w:r>
      <w:r>
        <w:rPr>
          <w:rFonts w:ascii="Times New Roman" w:hAnsi="Times New Roman" w:cs="Times New Roman"/>
          <w:szCs w:val="28"/>
        </w:rPr>
        <w:t xml:space="preserve"> 73</w:t>
      </w:r>
      <w:r>
        <w:rPr>
          <w:rFonts w:ascii="Times New Roman" w:hAnsi="Times New Roman" w:cs="Times New Roman"/>
          <w:szCs w:val="28"/>
        </w:rPr>
        <w:br/>
        <w:t>(часть I), № 86 (часть I), № 92 (часть I), № 95 (часть I);</w:t>
      </w:r>
      <w:r>
        <w:t xml:space="preserve"> </w:t>
      </w:r>
      <w:r>
        <w:rPr>
          <w:rFonts w:ascii="Times New Roman" w:hAnsi="Times New Roman" w:cs="Times New Roman"/>
          <w:szCs w:val="28"/>
        </w:rPr>
        <w:t>2024, № 45 (часть I), № 56</w:t>
      </w:r>
      <w:r>
        <w:rPr>
          <w:rFonts w:ascii="Times New Roman" w:hAnsi="Times New Roman" w:cs="Times New Roman"/>
          <w:szCs w:val="28"/>
        </w:rPr>
        <w:br/>
        <w:t xml:space="preserve">(часть I); 2025, № 1 (часть </w:t>
      </w:r>
      <w:r>
        <w:rPr>
          <w:rFonts w:ascii="Times New Roman" w:hAnsi="Times New Roman" w:cs="Times New Roman"/>
          <w:szCs w:val="28"/>
        </w:rPr>
        <w:t>I), № 18 (часть I), № 49 (часть I) следующие изменения:</w:t>
      </w:r>
    </w:p>
    <w:p w:rsidR="004D56D3" w:rsidRDefault="004D56D3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4D56D3" w:rsidRDefault="009273F0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 xml:space="preserve">1) пункт 3 статьи 32 </w:t>
      </w:r>
      <w:r>
        <w:rPr>
          <w:rFonts w:ascii="Times New Roman" w:hAnsi="Times New Roman" w:cs="Times New Roman"/>
          <w:szCs w:val="28"/>
        </w:rPr>
        <w:t>дополнить абзацем следующего содержания:</w:t>
      </w:r>
    </w:p>
    <w:p w:rsidR="004D56D3" w:rsidRDefault="009273F0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«Гражданам, имеющим трех и более детей, постоянно проживающим</w:t>
      </w:r>
      <w:r>
        <w:rPr>
          <w:rFonts w:ascii="Times New Roman" w:hAnsi="Times New Roman" w:cs="Times New Roman"/>
          <w:szCs w:val="28"/>
        </w:rPr>
        <w:br/>
        <w:t>на территории муниципального образования города Казани или муниципального о</w:t>
      </w:r>
      <w:r>
        <w:rPr>
          <w:rFonts w:ascii="Times New Roman" w:hAnsi="Times New Roman" w:cs="Times New Roman"/>
          <w:szCs w:val="28"/>
        </w:rPr>
        <w:t xml:space="preserve">бразования «город Набережные Челны», включенным в </w:t>
      </w:r>
      <w:r>
        <w:rPr>
          <w:rFonts w:ascii="Times New Roman" w:hAnsi="Times New Roman" w:cs="Times New Roman"/>
          <w:szCs w:val="28"/>
        </w:rPr>
        <w:t>списки граждан, имеющих право на получение земельного участка для осуществления индивидуального жилищного строительства, ведения личного подсобного хозяйства (приусадебный земельный участок), садоводства ил</w:t>
      </w:r>
      <w:r>
        <w:rPr>
          <w:rFonts w:ascii="Times New Roman" w:hAnsi="Times New Roman" w:cs="Times New Roman"/>
          <w:szCs w:val="28"/>
        </w:rPr>
        <w:t>и огородничества для собственных нужд, предусмотренные пунктом 11 статьи 32</w:t>
      </w:r>
      <w:r>
        <w:rPr>
          <w:rFonts w:ascii="Times New Roman" w:hAnsi="Times New Roman" w:cs="Times New Roman"/>
          <w:szCs w:val="28"/>
          <w:vertAlign w:val="superscript"/>
        </w:rPr>
        <w:t>1</w:t>
      </w:r>
      <w:r>
        <w:rPr>
          <w:rFonts w:ascii="Times New Roman" w:hAnsi="Times New Roman" w:cs="Times New Roman"/>
          <w:szCs w:val="28"/>
        </w:rPr>
        <w:t xml:space="preserve"> настоящего Кодекса</w:t>
      </w:r>
      <w:r>
        <w:rPr>
          <w:rFonts w:ascii="Times New Roman" w:hAnsi="Times New Roman" w:cs="Times New Roman"/>
          <w:szCs w:val="28"/>
        </w:rPr>
        <w:t>, с их согласия взамен земельного участка предоставляется денежная выплата в размере и порядке, установленных Кабинетом Министров Республики Татарстан.»;</w:t>
      </w:r>
    </w:p>
    <w:p w:rsidR="004D56D3" w:rsidRDefault="004D56D3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4D56D3" w:rsidRDefault="009273F0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2) в п</w:t>
      </w:r>
      <w:r>
        <w:rPr>
          <w:rFonts w:ascii="Times New Roman" w:hAnsi="Times New Roman" w:cs="Times New Roman"/>
          <w:szCs w:val="28"/>
        </w:rPr>
        <w:t>ункте 15 статьи 32</w:t>
      </w:r>
      <w:r>
        <w:rPr>
          <w:rFonts w:ascii="Times New Roman" w:hAnsi="Times New Roman" w:cs="Times New Roman"/>
          <w:szCs w:val="28"/>
        </w:rPr>
        <w:t>¹</w:t>
      </w:r>
      <w:r>
        <w:rPr>
          <w:rFonts w:ascii="Times New Roman" w:hAnsi="Times New Roman" w:cs="Times New Roman"/>
          <w:szCs w:val="28"/>
        </w:rPr>
        <w:t>:</w:t>
      </w:r>
    </w:p>
    <w:p w:rsidR="004D56D3" w:rsidRDefault="009273F0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а) дополнить подпунктом 1</w:t>
      </w:r>
      <w:r>
        <w:rPr>
          <w:rFonts w:ascii="Times New Roman" w:hAnsi="Times New Roman" w:cs="Times New Roman"/>
          <w:szCs w:val="28"/>
        </w:rPr>
        <w:t>¹</w:t>
      </w:r>
      <w:r>
        <w:rPr>
          <w:rFonts w:ascii="Times New Roman" w:hAnsi="Times New Roman" w:cs="Times New Roman"/>
          <w:szCs w:val="28"/>
        </w:rPr>
        <w:t xml:space="preserve"> следующего содержания:</w:t>
      </w:r>
    </w:p>
    <w:p w:rsidR="004D56D3" w:rsidRDefault="009273F0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«1</w:t>
      </w:r>
      <w:r>
        <w:rPr>
          <w:rFonts w:ascii="Times New Roman" w:hAnsi="Times New Roman" w:cs="Times New Roman"/>
          <w:szCs w:val="28"/>
        </w:rPr>
        <w:t>¹</w:t>
      </w:r>
      <w:r>
        <w:rPr>
          <w:rFonts w:ascii="Times New Roman" w:hAnsi="Times New Roman" w:cs="Times New Roman"/>
          <w:szCs w:val="28"/>
        </w:rPr>
        <w:t>) получения гражданами взамен земельного участка денежной выплаты</w:t>
      </w:r>
      <w:r>
        <w:rPr>
          <w:rFonts w:ascii="Times New Roman" w:hAnsi="Times New Roman" w:cs="Times New Roman"/>
          <w:szCs w:val="28"/>
        </w:rPr>
        <w:br/>
        <w:t xml:space="preserve">в соответствии с абзацем седьмым пункта </w:t>
      </w:r>
      <w:r>
        <w:rPr>
          <w:rFonts w:ascii="Times New Roman" w:hAnsi="Times New Roman" w:cs="Times New Roman"/>
          <w:color w:val="000000" w:themeColor="text1"/>
          <w:szCs w:val="28"/>
        </w:rPr>
        <w:t>3 статьи 32 настоящего Кодекса;»;</w:t>
      </w:r>
    </w:p>
    <w:p w:rsidR="004D56D3" w:rsidRDefault="009273F0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 xml:space="preserve">б) в абзаце двенадцатом слово «Извещение» </w:t>
      </w:r>
      <w:r>
        <w:rPr>
          <w:rFonts w:ascii="Times New Roman" w:hAnsi="Times New Roman" w:cs="Times New Roman"/>
          <w:color w:val="000000" w:themeColor="text1"/>
          <w:szCs w:val="28"/>
        </w:rPr>
        <w:t>заменить словами «15</w:t>
      </w:r>
      <w:r>
        <w:rPr>
          <w:rFonts w:ascii="Times New Roman" w:hAnsi="Times New Roman" w:cs="Times New Roman"/>
          <w:color w:val="000000" w:themeColor="text1"/>
          <w:szCs w:val="28"/>
        </w:rPr>
        <w:t>¹</w:t>
      </w:r>
      <w:r>
        <w:rPr>
          <w:rFonts w:ascii="Times New Roman" w:hAnsi="Times New Roman" w:cs="Times New Roman"/>
          <w:color w:val="000000" w:themeColor="text1"/>
          <w:szCs w:val="28"/>
        </w:rPr>
        <w:t>. Извещение».</w:t>
      </w:r>
    </w:p>
    <w:p w:rsidR="004D56D3" w:rsidRDefault="004D56D3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4D56D3" w:rsidRDefault="009273F0">
      <w:pPr>
        <w:pStyle w:val="affff9"/>
        <w:spacing w:after="0"/>
        <w:ind w:left="0" w:firstLine="709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Статья 2</w:t>
      </w:r>
    </w:p>
    <w:p w:rsidR="004D56D3" w:rsidRDefault="004D56D3">
      <w:pPr>
        <w:pStyle w:val="affff9"/>
        <w:spacing w:after="0"/>
        <w:ind w:left="0" w:firstLine="709"/>
        <w:jc w:val="both"/>
        <w:rPr>
          <w:rFonts w:ascii="Times New Roman" w:hAnsi="Times New Roman" w:cs="Times New Roman"/>
          <w:szCs w:val="28"/>
        </w:rPr>
      </w:pPr>
    </w:p>
    <w:p w:rsidR="004D56D3" w:rsidRDefault="009273F0">
      <w:pPr>
        <w:pStyle w:val="affff9"/>
        <w:spacing w:after="0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bidi="ar-SA"/>
        </w:rPr>
        <w:t xml:space="preserve">Настоящий Закон вступает в силу по истечении 10 дней после дня </w:t>
      </w:r>
      <w:r>
        <w:rPr>
          <w:rFonts w:ascii="Times New Roman" w:eastAsia="Times New Roman" w:hAnsi="Times New Roman" w:cs="Times New Roman"/>
          <w:bCs/>
          <w:color w:val="000000"/>
          <w:kern w:val="0"/>
          <w:szCs w:val="28"/>
          <w:lang w:bidi="ar-SA"/>
        </w:rPr>
        <w:br/>
        <w:t>его официального опубликования.</w:t>
      </w:r>
    </w:p>
    <w:p w:rsidR="004D56D3" w:rsidRDefault="004D56D3">
      <w:pPr>
        <w:ind w:firstLine="709"/>
        <w:jc w:val="both"/>
        <w:rPr>
          <w:rFonts w:ascii="Times New Roman" w:hAnsi="Times New Roman"/>
          <w:szCs w:val="28"/>
        </w:rPr>
      </w:pPr>
    </w:p>
    <w:p w:rsidR="004D56D3" w:rsidRDefault="004D56D3">
      <w:pPr>
        <w:ind w:firstLine="709"/>
        <w:jc w:val="both"/>
        <w:rPr>
          <w:rFonts w:ascii="Times New Roman" w:hAnsi="Times New Roman"/>
          <w:szCs w:val="28"/>
        </w:rPr>
      </w:pPr>
    </w:p>
    <w:p w:rsidR="004D56D3" w:rsidRDefault="009273F0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 w:cs="Calibri"/>
          <w:kern w:val="0"/>
          <w:szCs w:val="28"/>
          <w:lang w:bidi="ar-SA"/>
        </w:rPr>
        <w:t>Глава (Раис)</w:t>
      </w:r>
    </w:p>
    <w:p w:rsidR="004D56D3" w:rsidRDefault="009273F0">
      <w:pPr>
        <w:overflowPunct/>
        <w:jc w:val="both"/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 w:cs="Calibri"/>
          <w:kern w:val="0"/>
          <w:szCs w:val="28"/>
          <w:lang w:bidi="ar-SA"/>
        </w:rPr>
        <w:t>Республики Татарстан</w:t>
      </w:r>
    </w:p>
    <w:sectPr w:rsidR="004D56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3F0" w:rsidRDefault="009273F0">
      <w:r>
        <w:separator/>
      </w:r>
    </w:p>
  </w:endnote>
  <w:endnote w:type="continuationSeparator" w:id="0">
    <w:p w:rsidR="009273F0" w:rsidRDefault="0092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altName w:val="Bell MT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MV Boli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6D3" w:rsidRDefault="004D56D3">
    <w:pPr>
      <w:pStyle w:val="aff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6D3" w:rsidRDefault="004D56D3">
    <w:pPr>
      <w:pStyle w:val="aff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6D3" w:rsidRDefault="004D56D3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3F0" w:rsidRDefault="009273F0">
      <w:r>
        <w:separator/>
      </w:r>
    </w:p>
  </w:footnote>
  <w:footnote w:type="continuationSeparator" w:id="0">
    <w:p w:rsidR="009273F0" w:rsidRDefault="00927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6D3" w:rsidRDefault="004D56D3">
    <w:pPr>
      <w:pStyle w:val="aff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6D3" w:rsidRDefault="009273F0">
    <w:pPr>
      <w:pStyle w:val="afff2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2E24CD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6D3" w:rsidRDefault="004D56D3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555B2"/>
    <w:multiLevelType w:val="multilevel"/>
    <w:tmpl w:val="C6D0A260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1" w15:restartNumberingAfterBreak="0">
    <w:nsid w:val="3A9A5F71"/>
    <w:multiLevelType w:val="multilevel"/>
    <w:tmpl w:val="82FECB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1AB25EB"/>
    <w:multiLevelType w:val="multilevel"/>
    <w:tmpl w:val="DA98BD0E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6D3"/>
    <w:rsid w:val="002E24CD"/>
    <w:rsid w:val="004D56D3"/>
    <w:rsid w:val="0092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8CBB"/>
  <w15:docId w15:val="{5EA0779D-D969-4ED5-88B6-4178F676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  <w:qFormat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  <w:qFormat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641976320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умерованный 1 начало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Нумерованный 1 конец"/>
    <w:basedOn w:val="aff"/>
    <w:next w:val="4"/>
    <w:qFormat/>
  </w:style>
  <w:style w:type="paragraph" w:customStyle="1" w:styleId="13">
    <w:name w:val="Нумерованный 1 прод."/>
    <w:basedOn w:val="aff"/>
    <w:qFormat/>
  </w:style>
  <w:style w:type="paragraph" w:customStyle="1" w:styleId="20">
    <w:name w:val="Нумерованный 2 начало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Нумерованный 2 конец"/>
    <w:basedOn w:val="aff"/>
    <w:next w:val="21"/>
    <w:qFormat/>
  </w:style>
  <w:style w:type="paragraph" w:customStyle="1" w:styleId="23">
    <w:name w:val="Нумерованный 2 прод."/>
    <w:basedOn w:val="aff"/>
    <w:qFormat/>
  </w:style>
  <w:style w:type="paragraph" w:customStyle="1" w:styleId="31">
    <w:name w:val="Нумерованный 3 начало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Нумерованный 3 конец"/>
    <w:basedOn w:val="aff"/>
    <w:next w:val="32"/>
    <w:qFormat/>
  </w:style>
  <w:style w:type="paragraph" w:customStyle="1" w:styleId="34">
    <w:name w:val="Нумерованный 3 прод."/>
    <w:basedOn w:val="aff"/>
    <w:qFormat/>
  </w:style>
  <w:style w:type="paragraph" w:customStyle="1" w:styleId="41">
    <w:name w:val="Нумерованный 4 начало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Нумерованный 4 конец"/>
    <w:basedOn w:val="aff"/>
    <w:next w:val="42"/>
    <w:qFormat/>
  </w:style>
  <w:style w:type="paragraph" w:customStyle="1" w:styleId="44">
    <w:name w:val="Нумерованный 4 прод."/>
    <w:basedOn w:val="aff"/>
    <w:qFormat/>
  </w:style>
  <w:style w:type="paragraph" w:customStyle="1" w:styleId="50">
    <w:name w:val="Нумерованный 5 начало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Нумерованный 5 конец"/>
    <w:basedOn w:val="aff"/>
    <w:next w:val="51"/>
    <w:qFormat/>
  </w:style>
  <w:style w:type="paragraph" w:customStyle="1" w:styleId="53">
    <w:name w:val="Нумерованный 5 прод.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  <w:qFormat/>
  </w:style>
  <w:style w:type="paragraph" w:styleId="27">
    <w:name w:val="index 2"/>
    <w:basedOn w:val="aff1"/>
    <w:qFormat/>
  </w:style>
  <w:style w:type="paragraph" w:styleId="38">
    <w:name w:val="index 3"/>
    <w:basedOn w:val="aff1"/>
    <w:qFormat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  <w:qFormat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  <w:qFormat/>
  </w:style>
  <w:style w:type="paragraph" w:styleId="2a">
    <w:name w:val="envelope return"/>
    <w:basedOn w:val="a"/>
    <w:qFormat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paragraph" w:styleId="affff9">
    <w:name w:val="List Paragraph"/>
    <w:basedOn w:val="a"/>
    <w:qFormat/>
    <w:pPr>
      <w:spacing w:after="160"/>
      <w:ind w:left="720"/>
      <w:contextualSpacing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1">
    <w:name w:val="Нумерованный abc1"/>
    <w:qFormat/>
  </w:style>
  <w:style w:type="numbering" w:customStyle="1" w:styleId="IVX">
    <w:name w:val="Нумерованный IVX"/>
    <w:qFormat/>
  </w:style>
  <w:style w:type="numbering" w:customStyle="1" w:styleId="ivx1">
    <w:name w:val="Нумерованный ivx1"/>
    <w:qFormat/>
  </w:style>
  <w:style w:type="numbering" w:customStyle="1" w:styleId="affffa">
    <w:name w:val="Маркированный •"/>
    <w:qFormat/>
  </w:style>
  <w:style w:type="numbering" w:customStyle="1" w:styleId="affffb">
    <w:name w:val="Маркированный –"/>
    <w:qFormat/>
  </w:style>
  <w:style w:type="numbering" w:customStyle="1" w:styleId="affffc">
    <w:name w:val="Маркированный "/>
    <w:qFormat/>
  </w:style>
  <w:style w:type="numbering" w:customStyle="1" w:styleId="affffd">
    <w:name w:val="Маркированный "/>
    <w:qFormat/>
  </w:style>
  <w:style w:type="numbering" w:customStyle="1" w:styleId="affffe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f">
    <w:name w:val="Нумерованный а)"/>
    <w:qFormat/>
  </w:style>
  <w:style w:type="numbering" w:customStyle="1" w:styleId="afffff0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Фархутдинова Н.Ф.</cp:lastModifiedBy>
  <cp:revision>25</cp:revision>
  <dcterms:created xsi:type="dcterms:W3CDTF">2025-09-20T12:46:00Z</dcterms:created>
  <dcterms:modified xsi:type="dcterms:W3CDTF">2025-09-23T13:58:00Z</dcterms:modified>
  <dc:language>ru-RU</dc:language>
</cp:coreProperties>
</file>