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line="240" w:lineRule="auto"/>
        <w:ind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«__» ________ 2025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№ 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Казань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3969"/>
        </w:tabs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tooltip="https://login.consultant.ru/link/?req=doc&amp;base=RLAW363&amp;n=186787&amp;date=24.02.2025" w:history="1">
        <w:r>
          <w:rPr>
            <w:rFonts w:ascii="Times New Roman" w:hAnsi="Times New Roman" w:cs="Times New Roman"/>
            <w:sz w:val="28"/>
            <w:szCs w:val="28"/>
          </w:rPr>
          <w:t xml:space="preserve"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20.09.2024 №816 «Об утверждении нормативных затрат организаций социального обслуживания Республики Татарстан на 2025 год и на плановый период 2026 и 2027 годов»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suppressLineNumbers w:val="false"/>
        <w:pBdr/>
        <w:spacing w:after="0" w:before="0" w:line="312" w:lineRule="auto"/>
        <w:ind w:right="-1" w:firstLine="709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suppressLineNumbers w:val="false"/>
        <w:pBdr/>
        <w:spacing w:after="0" w:before="0" w:line="312" w:lineRule="auto"/>
        <w:ind w:right="-1" w:firstLine="709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0"/>
        <w:widowControl w:val="false"/>
        <w:numPr>
          <w:ilvl w:val="0"/>
          <w:numId w:val="19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3"/>
        </w:tabs>
        <w:spacing w:after="0" w:before="0" w:line="312" w:lineRule="auto"/>
        <w:ind w:right="0" w:firstLine="709" w:left="0"/>
        <w:contextualSpacing w:val="false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нести в </w:t>
      </w:r>
      <w:hyperlink r:id="rId19" w:tooltip="https://login.consultant.ru/link/?req=doc&amp;base=RLAW363&amp;n=186787&amp;date=24.02.2025" w:history="1">
        <w:r>
          <w:rPr>
            <w:rFonts w:ascii="Times New Roman" w:hAnsi="Times New Roman" w:cs="Times New Roman"/>
            <w:sz w:val="28"/>
            <w:szCs w:val="28"/>
          </w:rPr>
          <w:t xml:space="preserve"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20.09.2024 №816 «Об утверждении нормативных затрат организаций социального обслуживания Республики Татарстан на 2025 год и н</w:t>
      </w:r>
      <w:r>
        <w:rPr>
          <w:rFonts w:ascii="Times New Roman" w:hAnsi="Times New Roman" w:cs="Times New Roman"/>
          <w:sz w:val="28"/>
          <w:szCs w:val="28"/>
        </w:rPr>
        <w:t xml:space="preserve">а плановый период 2026 и 2027 годов» (с изменениями, внесенными постановлениями Кабинета</w:t>
      </w:r>
      <w:r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 от 30.10.2024 №941, от 17.12.2024 №1154</w:t>
      </w:r>
      <w:r>
        <w:rPr>
          <w:rFonts w:ascii="Times New Roman" w:hAnsi="Times New Roman" w:cs="Times New Roman"/>
          <w:sz w:val="28"/>
          <w:szCs w:val="28"/>
        </w:rPr>
        <w:t xml:space="preserve">, от 29.04.2025 №</w:t>
      </w:r>
      <w:r>
        <w:rPr>
          <w:rFonts w:ascii="Times New Roman" w:hAnsi="Times New Roman" w:cs="Times New Roman"/>
          <w:sz w:val="28"/>
          <w:szCs w:val="28"/>
        </w:rPr>
        <w:t xml:space="preserve">279</w:t>
      </w:r>
      <w:r>
        <w:rPr>
          <w:rFonts w:ascii="Times New Roman" w:hAnsi="Times New Roman" w:cs="Times New Roman"/>
          <w:sz w:val="28"/>
          <w:szCs w:val="28"/>
        </w:rPr>
        <w:t xml:space="preserve">, от 05.05.2025 №291, </w:t>
      </w:r>
      <w:r>
        <w:rPr>
          <w:rFonts w:ascii="Times New Roman" w:hAnsi="Times New Roman" w:cs="Times New Roman"/>
          <w:sz w:val="28"/>
          <w:szCs w:val="28"/>
        </w:rPr>
        <w:t xml:space="preserve">от 27.05.2025 №361</w:t>
      </w:r>
      <w:r>
        <w:rPr>
          <w:rFonts w:ascii="Times New Roman" w:hAnsi="Times New Roman" w:cs="Times New Roman"/>
          <w:sz w:val="28"/>
          <w:szCs w:val="28"/>
        </w:rPr>
        <w:t xml:space="preserve">) следующие изменения: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3"/>
        </w:tabs>
        <w:spacing w:after="0" w:before="0" w:line="312" w:lineRule="auto"/>
        <w:ind w:right="0" w:firstLine="709" w:left="0"/>
        <w:contextualSpacing w:val="false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п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оправочные коэффициенты к иным затратам в составе нормативных затрат на общехозяйственные нужды, связанные с оказанием государственной услуги, организаций социального обслуживания, находящихся в ведении Республики Татарстан, на 2025 год и на плановый перио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д 2026 и 2027 годов, утвержденные </w:t>
      </w:r>
      <w:r>
        <w:rPr>
          <w:rFonts w:ascii="Times New Roman" w:hAnsi="Times New Roman" w:cs="Times New Roman"/>
          <w:sz w:val="28"/>
          <w:szCs w:val="28"/>
        </w:rPr>
        <w:t xml:space="preserve">указанным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, дополнить строкой следующего содержания: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3"/>
        </w:tabs>
        <w:spacing w:after="0" w:before="0" w:line="312" w:lineRule="auto"/>
        <w:ind w:right="0" w:firstLine="709" w:left="0"/>
        <w:contextualSpacing w:val="false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tbl>
      <w:tblPr>
        <w:tblStyle w:val="1052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850"/>
        <w:gridCol w:w="7795"/>
        <w:gridCol w:w="1558"/>
      </w:tblGrid>
      <w:tr>
        <w:trPr/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none"/>
              </w:rPr>
              <w:t xml:space="preserve">«</w:t>
            </w:r>
            <w:r>
              <w:rPr>
                <w:sz w:val="28"/>
                <w:szCs w:val="28"/>
                <w:highlight w:val="white"/>
              </w:rPr>
              <w:t xml:space="preserve">1.27.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widowControl w:val="false"/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93"/>
              </w:tabs>
              <w:spacing w:after="0" w:before="0" w:line="312" w:lineRule="auto"/>
              <w:ind/>
              <w:contextualSpacing w:val="false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/>
            <w:tcW w:w="779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ГАУСО «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Зеленодольский дом-интернат для престарелых и инвалидов «Дом заботы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» 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3,18»;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widowControl w:val="false"/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93"/>
              </w:tabs>
              <w:spacing w:after="0" w:before="0" w:line="312" w:lineRule="auto"/>
              <w:ind/>
              <w:contextualSpacing w:val="false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</w:tbl>
    <w:p>
      <w:pPr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3"/>
        </w:tabs>
        <w:spacing w:after="0" w:before="0" w:line="312" w:lineRule="auto"/>
        <w:ind w:right="0" w:firstLine="709" w:left="0"/>
        <w:contextualSpacing w:val="false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3"/>
        </w:tabs>
        <w:spacing w:after="0" w:before="0" w:line="312" w:lineRule="auto"/>
        <w:ind w:right="0" w:firstLine="567" w:left="0"/>
        <w:contextualSpacing w:val="false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оличестве койко-дней и койко-мест в организациях социального обслуживания, находящихся в ведении Республики Татарстан, со стационарной формой социального обслуживания, осуществляющих свою деятельность на территории муниципальных образований (городских окру</w:t>
      </w:r>
      <w:r>
        <w:rPr>
          <w:rFonts w:ascii="Times New Roman" w:hAnsi="Times New Roman" w:cs="Times New Roman"/>
          <w:sz w:val="28"/>
          <w:szCs w:val="28"/>
        </w:rPr>
        <w:t xml:space="preserve">гов), на 2025 год и на плановый период 2026 и 2027 годов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 </w:t>
      </w:r>
      <w:r>
        <w:rPr>
          <w:rFonts w:ascii="Times New Roman" w:hAnsi="Times New Roman" w:cs="Times New Roman"/>
          <w:sz w:val="28"/>
          <w:szCs w:val="28"/>
        </w:rPr>
        <w:t xml:space="preserve">указанным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, строку «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Зеленодольский муниципальный район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» изложить в следующей редакции: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3"/>
        </w:tabs>
        <w:spacing w:after="0" w:before="0" w:line="312" w:lineRule="auto"/>
        <w:ind/>
        <w:contextualSpacing w:val="false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tbl>
      <w:tblPr>
        <w:tblInd w:w="0" w:type="dxa"/>
        <w:tblW w:w="102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5386"/>
        <w:gridCol w:w="1276"/>
        <w:gridCol w:w="1134"/>
      </w:tblGrid>
      <w:tr>
        <w:trPr>
          <w:trHeight w:val="488"/>
        </w:trPr>
        <w:tc>
          <w:tcPr>
            <w:shd w:val="clear" w:color="ffffff" w:fill="ffffff"/>
            <w:tcBorders/>
            <w:tcW w:w="2409" w:type="dxa"/>
            <w:vMerge w:val="restart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Зеленодольский муниципальный район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/>
            <w:tcW w:w="538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ГАУСО 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Зеленодольский дом-интернат для престарелых и инвалидов «Дом заботы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/>
            <w:tcW w:w="127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64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vMerge w:val="restart"/>
            <w:textDirection w:val="lrTb"/>
            <w:noWrap w:val="false"/>
          </w:tcPr>
          <w:p>
            <w:pPr>
              <w:pBdr/>
              <w:spacing w:line="228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120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976"/>
        </w:trPr>
        <w:tc>
          <w:tcPr>
            <w:shd w:val="clear" w:color="ffffff" w:fill="ffffff"/>
            <w:tcBorders/>
            <w:tcW w:w="240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ffffff" w:fill="ffffff"/>
            <w:tcBorders/>
            <w:tcW w:w="5386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ГАУСО «Зеленодольский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дом-интернат, предназначенный для граждан, имеющих психические расстройства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296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28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544».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3"/>
        </w:tabs>
        <w:spacing w:after="0" w:before="0" w:line="312" w:lineRule="auto"/>
        <w:ind/>
        <w:contextualSpacing w:val="false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widowControl w:val="false"/>
        <w:suppressLineNumbers w:val="false"/>
        <w:pBdr/>
        <w:tabs>
          <w:tab w:val="left" w:leader="none" w:pos="993"/>
        </w:tabs>
        <w:spacing w:after="0" w:before="0" w:line="312" w:lineRule="auto"/>
        <w:ind w:right="0" w:firstLine="709" w:left="0"/>
        <w:contextualSpacing w:val="false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 Установить, что действие настоящего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постановления распространяется на правоотношения, возникшие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сентября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202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года.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Премьер-министр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А.В. Песошин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36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36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36" w:lineRule="auto"/>
        <w:ind w:right="0" w:firstLine="709" w:left="0"/>
        <w:jc w:val="center"/>
        <w:rPr>
          <w:rFonts w:ascii="Times New Roman" w:hAnsi="Times New Roman" w:cs="Times New Roman"/>
          <w:sz w:val="28"/>
          <w:szCs w:val="28"/>
          <w14:ligatures w14:val="none"/>
        </w:rPr>
        <w:sectPr>
          <w:headerReference w:type="default" r:id="rId9"/>
          <w:headerReference w:type="first" r:id="rId10"/>
          <w:footerReference w:type="first" r:id="rId14"/>
          <w:footnotePr/>
          <w:endnotePr/>
          <w:type w:val="nextPage"/>
          <w:pgSz w:h="16838" w:orient="portrait" w:w="11905"/>
          <w:pgMar w:top="1134" w:right="567" w:bottom="1134" w:left="1134" w:header="709" w:footer="709" w:gutter="0"/>
          <w:pgNumType w:start="1"/>
          <w:cols w:num="1" w:sep="0" w:space="720" w:equalWidth="1"/>
          <w:titlePg/>
        </w:sectPr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1055"/>
        <w:suppressLineNumbers w:val="false"/>
        <w:pBdr/>
        <w:spacing w:line="240" w:lineRule="auto"/>
        <w:ind w:right="-142" w:firstLine="709" w:left="0"/>
        <w:contextualSpacing w:val="true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</w:t>
      </w:r>
      <w:r>
        <w:rPr>
          <w:rFonts w:ascii="Times New Roman" w:hAnsi="Times New Roman" w:cs="Times New Roman"/>
          <w:bCs/>
          <w:sz w:val="28"/>
          <w:szCs w:val="28"/>
        </w:rPr>
        <w:t xml:space="preserve">ОЯСНИТЕЛЬНАЯ ЗАПИСКА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55"/>
        <w:suppressLineNumbers w:val="false"/>
        <w:pBdr/>
        <w:spacing w:line="240" w:lineRule="auto"/>
        <w:ind w:right="-142" w:firstLine="709" w:left="0"/>
        <w:contextualSpacing w:val="true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55"/>
        <w:suppressLineNumbers w:val="false"/>
        <w:pBdr/>
        <w:spacing w:after="0" w:before="0" w:line="240" w:lineRule="auto"/>
        <w:ind w:right="-142" w:firstLine="0" w:left="0"/>
        <w:contextualSpacing w:val="tru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проекту постановления Кабинета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5"/>
        <w:suppressLineNumbers w:val="false"/>
        <w:pBdr/>
        <w:spacing w:after="0" w:before="0" w:line="240" w:lineRule="auto"/>
        <w:ind w:right="-142" w:firstLine="0" w:left="0"/>
        <w:contextualSpacing w:val="true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внесении изменени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hyperlink r:id="rId20" w:tooltip="https://login.consultant.ru/link/?req=doc&amp;base=RLAW363&amp;n=186787&amp;date=24.02.2025" w:history="1">
        <w:r>
          <w:rPr>
            <w:rFonts w:ascii="Times New Roman" w:hAnsi="Times New Roman" w:cs="Times New Roman"/>
            <w:sz w:val="28"/>
            <w:szCs w:val="28"/>
            <w:highlight w:val="none"/>
          </w:rPr>
          <w:t xml:space="preserve">постановление</w:t>
        </w:r>
      </w:hyperlink>
      <w:r>
        <w:rPr>
          <w:rFonts w:ascii="Times New Roman" w:hAnsi="Times New Roman" w:cs="Times New Roman"/>
          <w:sz w:val="28"/>
          <w:szCs w:val="28"/>
          <w:highlight w:val="none"/>
        </w:rPr>
        <w:t xml:space="preserve"> Кабинета Министров Республики Татарстан от 20.09.2024 №816 «Об утверждении нормативных затрат организаций социального обслуживания Республики Татарстан на 2025 год и на плановый период 2026 и 2027 годов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58"/>
        <w:suppressLineNumbers w:val="false"/>
        <w:pBdr/>
        <w:spacing w:after="57" w:afterAutospacing="1" w:before="57" w:beforeAutospacing="1" w:line="240" w:lineRule="auto"/>
        <w:ind w:right="-142" w:firstLine="709" w:left="0"/>
        <w:contextualSpacing w:val="true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роект постановления 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внесении изменени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hyperlink r:id="rId21" w:tooltip="https://login.consultant.ru/link/?req=doc&amp;base=RLAW363&amp;n=186787&amp;date=24.02.2025" w:history="1">
        <w:r>
          <w:rPr>
            <w:rFonts w:ascii="Times New Roman" w:hAnsi="Times New Roman" w:cs="Times New Roman"/>
            <w:sz w:val="28"/>
            <w:szCs w:val="28"/>
            <w:highlight w:val="none"/>
          </w:rPr>
          <w:t xml:space="preserve">постановление</w:t>
        </w:r>
      </w:hyperlink>
      <w:r>
        <w:rPr>
          <w:rFonts w:ascii="Times New Roman" w:hAnsi="Times New Roman" w:cs="Times New Roman"/>
          <w:sz w:val="28"/>
          <w:szCs w:val="28"/>
          <w:highlight w:val="none"/>
        </w:rPr>
        <w:t xml:space="preserve"> Кабинета Министров Республики Татарстан от 20.09.2024 №816 «Об утверждении нормативных затрат организаций социального обслуживания Республики Татарстан на 2025 год и на плановый период 2026 и 2027 годов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азработан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во исполнение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пункта 2 распоряжения Кабинета Министров Республики Татарстан от 17.07.2025 № 1609-р и обращения Министерства труда, занятости и социальной защиты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от 31.07.2025 № 06-08/10532 по вопросу внесения изменения в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hyperlink r:id="rId22" w:tooltip="https://login.consultant.ru/link/?req=doc&amp;base=RLAW363&amp;n=186787&amp;date=24.02.2025" w:history="1">
        <w:r>
          <w:rPr>
            <w:rFonts w:ascii="Times New Roman" w:hAnsi="Times New Roman" w:cs="Times New Roman"/>
            <w:sz w:val="28"/>
            <w:szCs w:val="28"/>
            <w:highlight w:val="none"/>
          </w:rPr>
          <w:t xml:space="preserve">постановление</w:t>
        </w:r>
      </w:hyperlink>
      <w:r>
        <w:rPr>
          <w:rFonts w:ascii="Times New Roman" w:hAnsi="Times New Roman" w:cs="Times New Roman"/>
          <w:sz w:val="28"/>
          <w:szCs w:val="28"/>
          <w:highlight w:val="none"/>
        </w:rPr>
        <w:t xml:space="preserve"> Кабинета Министров Республики Татарстан от 20.09.2024 №816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58"/>
        <w:suppressLineNumbers w:val="false"/>
        <w:pBdr/>
        <w:spacing w:after="57" w:afterAutospacing="1" w:before="57" w:beforeAutospacing="1" w:line="240" w:lineRule="auto"/>
        <w:ind w:right="-142" w:firstLine="709" w:left="0"/>
        <w:contextualSpacing w:val="true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роектом постановления вносятся изменения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58"/>
        <w:suppressLineNumbers w:val="false"/>
        <w:pBdr/>
        <w:spacing w:after="57" w:afterAutospacing="1" w:before="57" w:beforeAutospacing="1" w:line="240" w:lineRule="auto"/>
        <w:ind w:right="-142" w:firstLine="709" w:left="0"/>
        <w:contextualSpacing w:val="true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п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оправочные коэффициенты к иным затратам в составе нормативных затрат на общехозяйственные нужды, связанные с оказанием государственной услуги, организаций социального обслуживания, находящихся в ведении Республики Татарстан, на 2025 год и на плановый перио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д 2026 и 2027 годов, в части дополнения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ГАУСО 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Зеленодольский дом-интернат для престарелых и инвалидов «Дом заботы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и установления для него поправочного коэффициента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58"/>
        <w:suppressLineNumbers w:val="false"/>
        <w:pBdr/>
        <w:spacing w:after="57" w:afterAutospacing="1" w:before="57" w:beforeAutospacing="1" w:line="240" w:lineRule="auto"/>
        <w:ind w:right="-142" w:firstLine="709" w:left="0"/>
        <w:contextualSpacing w:val="true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оличество койко-дней и койко-мест в организациях социального обслуживания, находящихся в ведении Республики Татарстан, со стационарной формой социального обслуживания, осуществляющих свою деятельность на территории муниципальных образований (городских окру</w:t>
      </w:r>
      <w:r>
        <w:rPr>
          <w:rFonts w:ascii="Times New Roman" w:hAnsi="Times New Roman" w:cs="Times New Roman"/>
          <w:sz w:val="28"/>
          <w:szCs w:val="28"/>
        </w:rPr>
        <w:t xml:space="preserve">гов), на 2025 год и на плановый период 2026 и 2027 годов 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в части дополнения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ГАУСО 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Зеленодольский дом-интернат для престарелых и инвалидов «Дом заботы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на 120 койко-мест и открытием с 1 сентября 2025 года</w:t>
      </w:r>
      <w: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58"/>
        <w:pBdr/>
        <w:spacing w:after="57" w:afterAutospacing="1" w:before="57" w:beforeAutospacing="1" w:line="240" w:lineRule="auto"/>
        <w:ind w:right="-142" w:firstLine="709" w:left="0"/>
        <w:contextualSpacing w:val="true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</w:rPr>
      </w:r>
      <w:bookmarkStart w:id="5" w:name="_Hlk172273865"/>
      <w:r>
        <w:rPr>
          <w:rFonts w:ascii="Times New Roman" w:hAnsi="Times New Roman" w:cs="Times New Roman"/>
          <w:sz w:val="28"/>
          <w:szCs w:val="28"/>
        </w:rPr>
        <w:t xml:space="preserve">Принятие данного проекта постановления Кабинета Министров Республики Татарстан не потребует выделения дополнительных финансовых средств из бюджета Республики Татарстан</w:t>
      </w:r>
      <w:bookmarkEnd w:id="5"/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 Средства на указанные цели предусмотрены в полном объеме.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1058"/>
        <w:suppressLineNumbers w:val="false"/>
        <w:pBdr/>
        <w:spacing w:after="57" w:afterAutospacing="1" w:before="57" w:beforeAutospacing="1" w:line="240" w:lineRule="auto"/>
        <w:ind w:right="-142" w:firstLine="709" w:left="0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  <w:highlight w:val="none"/>
        </w:rPr>
        <w:t xml:space="preserve">Отсутствует необходимость</w:t>
      </w:r>
      <w:r>
        <w:rPr>
          <w:rFonts w:ascii="Times New Roman" w:hAnsi="Times New Roman" w:cs="Arial"/>
          <w:sz w:val="28"/>
          <w:szCs w:val="28"/>
          <w:highlight w:val="none"/>
        </w:rPr>
        <w:t xml:space="preserve"> в проведении оценки регулирующего воздействия</w:t>
      </w:r>
      <w:r>
        <w:rPr>
          <w:rFonts w:ascii="Times New Roman" w:hAnsi="Times New Roman" w:cs="Arial"/>
          <w:sz w:val="28"/>
          <w:szCs w:val="28"/>
          <w:highlight w:val="none"/>
        </w:rPr>
        <w:t xml:space="preserve"> проекта постановления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Кабинета Министров Республики Татарстан</w:t>
      </w:r>
      <w:r>
        <w:rPr>
          <w:rFonts w:ascii="Times New Roman" w:hAnsi="Times New Roman" w:cs="Arial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58"/>
        <w:suppressLineNumbers w:val="false"/>
        <w:pBdr/>
        <w:spacing w:after="57" w:afterAutospacing="1" w:before="57" w:beforeAutospacing="1" w:line="240" w:lineRule="auto"/>
        <w:ind w:right="-142" w:firstLine="709" w:left="0"/>
        <w:contextualSpacing w:val="true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По итогам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независимой антикоррупционной экспертизы</w:t>
      </w:r>
      <w:r>
        <w:rPr>
          <w:rFonts w:ascii="Times New Roman" w:hAnsi="Times New Roman"/>
          <w:sz w:val="28"/>
          <w:szCs w:val="28"/>
        </w:rPr>
        <w:t xml:space="preserve"> проекта </w:t>
      </w:r>
      <w:r>
        <w:rPr>
          <w:rFonts w:ascii="Times New Roman" w:hAnsi="Times New Roman"/>
          <w:sz w:val="28"/>
          <w:szCs w:val="28"/>
        </w:rPr>
        <w:t xml:space="preserve">постановления </w:t>
      </w:r>
      <w:r>
        <w:rPr>
          <w:rFonts w:ascii="Times New Roman" w:hAnsi="Times New Roman"/>
          <w:sz w:val="28"/>
          <w:szCs w:val="28"/>
        </w:rPr>
        <w:t xml:space="preserve">Кабинета Министров Республики Татарстан</w:t>
      </w:r>
      <w:r>
        <w:rPr>
          <w:rFonts w:ascii="Times New Roman" w:hAnsi="Times New Roman"/>
          <w:sz w:val="28"/>
          <w:szCs w:val="28"/>
        </w:rPr>
        <w:t xml:space="preserve"> заключений не поступало.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headerReference w:type="default" r:id="rId11"/>
      <w:headerReference w:type="even" r:id="rId12"/>
      <w:headerReference w:type="first" r:id="rId13"/>
      <w:footerReference w:type="even" r:id="rId15"/>
      <w:footerReference w:type="first" r:id="rId16"/>
      <w:footnotePr/>
      <w:endnotePr/>
      <w:type w:val="nextPage"/>
      <w:pgSz w:h="16838" w:orient="portrait" w:w="11906"/>
      <w:pgMar w:top="851" w:right="709" w:bottom="709" w:left="1134" w:header="709" w:footer="0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8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8"/>
      <w:framePr w:hAnchor="margin" w:vAnchor="text" w:wrap="around" w:xAlign="right" w:y="1"/>
      <w:pBdr/>
      <w:spacing/>
      <w:ind/>
      <w:rPr>
        <w:rStyle w:val="1045"/>
      </w:rPr>
    </w:pPr>
    <w:r>
      <w:rPr>
        <w:rStyle w:val="1045"/>
      </w:rPr>
      <w:fldChar w:fldCharType="begin"/>
    </w:r>
    <w:r>
      <w:rPr>
        <w:rStyle w:val="1045"/>
      </w:rPr>
      <w:instrText xml:space="preserve">PAGE  </w:instrText>
    </w:r>
    <w:r>
      <w:rPr>
        <w:rStyle w:val="1045"/>
      </w:rPr>
      <w:fldChar w:fldCharType="end"/>
    </w:r>
    <w:r>
      <w:rPr>
        <w:rStyle w:val="1045"/>
      </w:rPr>
    </w:r>
    <w:r>
      <w:rPr>
        <w:rStyle w:val="1045"/>
      </w:rPr>
    </w:r>
  </w:p>
  <w:p>
    <w:pPr>
      <w:pStyle w:val="1048"/>
      <w:pBdr/>
      <w:spacing/>
      <w:ind w:right="360"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8"/>
      <w:pBdr/>
      <w:spacing/>
      <w:ind/>
      <w:contextualSpacing w:val="true"/>
      <w:jc w:val="right"/>
      <w:rPr>
        <w:sz w:val="20"/>
      </w:rPr>
    </w:pPr>
    <w:r>
      <w:rPr>
        <w:sz w:val="20"/>
      </w:rPr>
    </w:r>
    <w:r>
      <w:rPr>
        <w:sz w:val="20"/>
      </w:rPr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6"/>
      <w:pBdr/>
      <w:spacing/>
      <w:ind/>
      <w:jc w:val="center"/>
      <w:rPr>
        <w:highlight w:val="none"/>
      </w:rPr>
    </w:pPr>
    <w:fldSimple w:instr="PAGE \* MERGEFORMAT">
      <w:r>
        <w:t xml:space="preserve">1</w:t>
      </w:r>
    </w:fldSimple>
    <w:r/>
    <w:r>
      <w:rPr>
        <w:highlight w:val="none"/>
      </w:rPr>
    </w:r>
    <w:r>
      <w:rPr>
        <w:highlight w:val="none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6"/>
      <w:pBdr/>
      <w:spacing/>
      <w:ind/>
      <w:jc w:val="center"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6"/>
      <w:pBdr/>
      <w:spacing/>
      <w:ind/>
      <w:jc w:val="center"/>
      <w:rPr>
        <w:highlight w:val="none"/>
      </w:rPr>
    </w:pPr>
    <w:fldSimple w:instr="PAGE \* MERGEFORMAT">
      <w:r>
        <w:t xml:space="preserve">1</w:t>
      </w:r>
    </w:fldSimple>
    <w:r/>
    <w:r>
      <w:rPr>
        <w:highlight w:val="none"/>
      </w:rPr>
    </w:r>
    <w:r>
      <w:rPr>
        <w:highlight w:val="none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6"/>
      <w:framePr w:hAnchor="margin" w:vAnchor="text" w:wrap="around" w:xAlign="center" w:y="1"/>
      <w:pBdr/>
      <w:spacing/>
      <w:ind/>
      <w:rPr>
        <w:rStyle w:val="1045"/>
      </w:rPr>
    </w:pPr>
    <w:r>
      <w:rPr>
        <w:rStyle w:val="1045"/>
      </w:rPr>
      <w:fldChar w:fldCharType="begin"/>
    </w:r>
    <w:r>
      <w:rPr>
        <w:rStyle w:val="1045"/>
      </w:rPr>
      <w:instrText xml:space="preserve">PAGE  </w:instrText>
    </w:r>
    <w:r>
      <w:rPr>
        <w:rStyle w:val="1045"/>
      </w:rPr>
      <w:fldChar w:fldCharType="end"/>
    </w:r>
    <w:r>
      <w:rPr>
        <w:rStyle w:val="1045"/>
      </w:rPr>
    </w:r>
    <w:r>
      <w:rPr>
        <w:rStyle w:val="1045"/>
      </w:rPr>
    </w:r>
  </w:p>
  <w:p>
    <w:pPr>
      <w:pStyle w:val="1046"/>
      <w:pBdr/>
      <w:spacing/>
      <w:ind/>
      <w:rPr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6"/>
      <w:pBdr/>
      <w:spacing/>
      <w:ind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hint="default"/>
        <w:color w:val="auto"/>
      </w:rPr>
      <w:start w:val="1"/>
      <w:suff w:val="tab"/>
    </w:lvl>
    <w:lvl w:ilvl="1">
      <w:isLgl w:val="false"/>
      <w:lvlJc w:val="left"/>
      <w:lvlText w:val=""/>
      <w:numFmt w:val="none"/>
      <w:pPr>
        <w:pBdr/>
        <w:tabs>
          <w:tab w:val="num" w:leader="none" w:pos="-906"/>
        </w:tabs>
        <w:spacing/>
        <w:ind/>
      </w:pPr>
      <w:rPr/>
      <w:start w:val="0"/>
      <w:suff w:val="tab"/>
    </w:lvl>
    <w:lvl w:ilvl="2">
      <w:isLgl w:val="false"/>
      <w:lvlJc w:val="left"/>
      <w:lvlText w:val=""/>
      <w:numFmt w:val="none"/>
      <w:pPr>
        <w:pBdr/>
        <w:tabs>
          <w:tab w:val="num" w:leader="none" w:pos="-906"/>
        </w:tabs>
        <w:spacing/>
        <w:ind/>
      </w:pPr>
      <w:rPr/>
      <w:start w:val="0"/>
      <w:suff w:val="tab"/>
    </w:lvl>
    <w:lvl w:ilvl="3">
      <w:isLgl w:val="false"/>
      <w:lvlJc w:val="left"/>
      <w:lvlText w:val=""/>
      <w:numFmt w:val="none"/>
      <w:pPr>
        <w:pBdr/>
        <w:tabs>
          <w:tab w:val="num" w:leader="none" w:pos="-906"/>
        </w:tabs>
        <w:spacing/>
        <w:ind/>
      </w:pPr>
      <w:rPr/>
      <w:start w:val="0"/>
      <w:suff w:val="tab"/>
    </w:lvl>
    <w:lvl w:ilvl="4">
      <w:isLgl w:val="false"/>
      <w:lvlJc w:val="left"/>
      <w:lvlText w:val=""/>
      <w:numFmt w:val="none"/>
      <w:pPr>
        <w:pBdr/>
        <w:tabs>
          <w:tab w:val="num" w:leader="none" w:pos="-906"/>
        </w:tabs>
        <w:spacing/>
        <w:ind/>
      </w:pPr>
      <w:rPr/>
      <w:start w:val="0"/>
      <w:suff w:val="tab"/>
    </w:lvl>
    <w:lvl w:ilvl="5">
      <w:isLgl w:val="false"/>
      <w:lvlJc w:val="left"/>
      <w:lvlText w:val=""/>
      <w:numFmt w:val="none"/>
      <w:pPr>
        <w:pBdr/>
        <w:tabs>
          <w:tab w:val="num" w:leader="none" w:pos="-906"/>
        </w:tabs>
        <w:spacing/>
        <w:ind/>
      </w:pPr>
      <w:rPr/>
      <w:start w:val="0"/>
      <w:suff w:val="tab"/>
    </w:lvl>
    <w:lvl w:ilvl="6">
      <w:isLgl w:val="false"/>
      <w:lvlJc w:val="left"/>
      <w:lvlText w:val=""/>
      <w:numFmt w:val="none"/>
      <w:pPr>
        <w:pBdr/>
        <w:tabs>
          <w:tab w:val="num" w:leader="none" w:pos="-906"/>
        </w:tabs>
        <w:spacing/>
        <w:ind/>
      </w:pPr>
      <w:rPr/>
      <w:start w:val="0"/>
      <w:suff w:val="tab"/>
    </w:lvl>
    <w:lvl w:ilvl="7">
      <w:isLgl w:val="false"/>
      <w:lvlJc w:val="left"/>
      <w:lvlText w:val=""/>
      <w:numFmt w:val="none"/>
      <w:pPr>
        <w:pBdr/>
        <w:tabs>
          <w:tab w:val="num" w:leader="none" w:pos="-906"/>
        </w:tabs>
        <w:spacing/>
        <w:ind/>
      </w:pPr>
      <w:rPr/>
      <w:start w:val="0"/>
      <w:suff w:val="tab"/>
    </w:lvl>
    <w:lvl w:ilvl="8">
      <w:isLgl w:val="false"/>
      <w:lvlJc w:val="left"/>
      <w:lvlText w:val=""/>
      <w:numFmt w:val="none"/>
      <w:pPr>
        <w:pBdr/>
        <w:tabs>
          <w:tab w:val="num" w:leader="none" w:pos="-906"/>
        </w:tabs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>
        <w:rFonts w:hint="default"/>
        <w:color w:val="auto"/>
      </w:rPr>
      <w:start w:val="1"/>
      <w:suff w:val="tab"/>
    </w:lvl>
    <w:lvl w:ilvl="1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2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3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4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5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6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7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8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upperRoman"/>
      <w:pPr>
        <w:pBdr/>
        <w:spacing/>
        <w:ind w:hanging="72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504" w:left="504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29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320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98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605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676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7832"/>
      </w:pPr>
      <w:rPr>
        <w:rFonts w:hint="default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450" w:left="45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40"/>
      </w:pPr>
      <w:rPr>
        <w:rFonts w:hint="default"/>
        <w:color w:val="auto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6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324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6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50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612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68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7920"/>
      </w:pPr>
      <w:rPr>
        <w:rFonts w:hint="default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44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>
        <w:rFonts w:hint="default"/>
        <w:color w:val="auto"/>
      </w:rPr>
      <w:start w:val="1"/>
      <w:suff w:val="tab"/>
    </w:lvl>
    <w:lvl w:ilvl="1">
      <w:isLgl w:val="false"/>
      <w:lvlJc w:val="left"/>
      <w:lvlText w:val=""/>
      <w:numFmt w:val="none"/>
      <w:pPr>
        <w:pBdr/>
        <w:tabs>
          <w:tab w:val="num" w:leader="none" w:pos="-622"/>
        </w:tabs>
        <w:spacing/>
        <w:ind/>
      </w:pPr>
      <w:rPr/>
      <w:start w:val="0"/>
      <w:suff w:val="tab"/>
    </w:lvl>
    <w:lvl w:ilvl="2">
      <w:isLgl w:val="false"/>
      <w:lvlJc w:val="left"/>
      <w:lvlText w:val=""/>
      <w:numFmt w:val="none"/>
      <w:pPr>
        <w:pBdr/>
        <w:tabs>
          <w:tab w:val="num" w:leader="none" w:pos="-622"/>
        </w:tabs>
        <w:spacing/>
        <w:ind/>
      </w:pPr>
      <w:rPr/>
      <w:start w:val="0"/>
      <w:suff w:val="tab"/>
    </w:lvl>
    <w:lvl w:ilvl="3">
      <w:isLgl w:val="false"/>
      <w:lvlJc w:val="left"/>
      <w:lvlText w:val=""/>
      <w:numFmt w:val="none"/>
      <w:pPr>
        <w:pBdr/>
        <w:tabs>
          <w:tab w:val="num" w:leader="none" w:pos="-622"/>
        </w:tabs>
        <w:spacing/>
        <w:ind/>
      </w:pPr>
      <w:rPr/>
      <w:start w:val="0"/>
      <w:suff w:val="tab"/>
    </w:lvl>
    <w:lvl w:ilvl="4">
      <w:isLgl w:val="false"/>
      <w:lvlJc w:val="left"/>
      <w:lvlText w:val=""/>
      <w:numFmt w:val="none"/>
      <w:pPr>
        <w:pBdr/>
        <w:tabs>
          <w:tab w:val="num" w:leader="none" w:pos="-622"/>
        </w:tabs>
        <w:spacing/>
        <w:ind/>
      </w:pPr>
      <w:rPr/>
      <w:start w:val="0"/>
      <w:suff w:val="tab"/>
    </w:lvl>
    <w:lvl w:ilvl="5">
      <w:isLgl w:val="false"/>
      <w:lvlJc w:val="left"/>
      <w:lvlText w:val=""/>
      <w:numFmt w:val="none"/>
      <w:pPr>
        <w:pBdr/>
        <w:tabs>
          <w:tab w:val="num" w:leader="none" w:pos="-622"/>
        </w:tabs>
        <w:spacing/>
        <w:ind/>
      </w:pPr>
      <w:rPr/>
      <w:start w:val="0"/>
      <w:suff w:val="tab"/>
    </w:lvl>
    <w:lvl w:ilvl="6">
      <w:isLgl w:val="false"/>
      <w:lvlJc w:val="left"/>
      <w:lvlText w:val=""/>
      <w:numFmt w:val="none"/>
      <w:pPr>
        <w:pBdr/>
        <w:tabs>
          <w:tab w:val="num" w:leader="none" w:pos="-622"/>
        </w:tabs>
        <w:spacing/>
        <w:ind/>
      </w:pPr>
      <w:rPr/>
      <w:start w:val="0"/>
      <w:suff w:val="tab"/>
    </w:lvl>
    <w:lvl w:ilvl="7">
      <w:isLgl w:val="false"/>
      <w:lvlJc w:val="left"/>
      <w:lvlText w:val=""/>
      <w:numFmt w:val="none"/>
      <w:pPr>
        <w:pBdr/>
        <w:tabs>
          <w:tab w:val="num" w:leader="none" w:pos="-622"/>
        </w:tabs>
        <w:spacing/>
        <w:ind/>
      </w:pPr>
      <w:rPr/>
      <w:start w:val="0"/>
      <w:suff w:val="tab"/>
    </w:lvl>
    <w:lvl w:ilvl="8">
      <w:isLgl w:val="false"/>
      <w:lvlJc w:val="left"/>
      <w:lvlText w:val=""/>
      <w:numFmt w:val="none"/>
      <w:pPr>
        <w:pBdr/>
        <w:tabs>
          <w:tab w:val="num" w:leader="none" w:pos="-622"/>
        </w:tabs>
        <w:spacing/>
        <w:ind/>
      </w:pPr>
      <w:rPr/>
      <w:start w:val="0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49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1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3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5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7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9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1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3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55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525" w:left="525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29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320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98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605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676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7832"/>
      </w:pPr>
      <w:rPr>
        <w:rFonts w:hint="default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525" w:left="525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26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0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70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24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1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50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558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6480"/>
      </w:pPr>
      <w:rPr>
        <w:rFonts w:hint="default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upperRoman"/>
      <w:pPr>
        <w:pBdr/>
        <w:spacing/>
        <w:ind w:hanging="720" w:left="185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1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3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5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7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9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1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3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55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450" w:left="45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4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6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324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6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50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612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68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7920"/>
      </w:pPr>
      <w:rPr>
        <w:rFonts w:hint="default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525" w:left="525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146"/>
      </w:pPr>
      <w:rPr>
        <w:rFonts w:hint="default"/>
        <w:color w:val="auto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0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70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24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1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50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558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6480"/>
      </w:pPr>
      <w:rPr>
        <w:rFonts w:hint="default"/>
      </w:rPr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525" w:left="525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29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320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98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605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676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7832"/>
      </w:pPr>
      <w:rPr>
        <w:rFonts w:hint="default"/>
      </w:rPr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15"/>
  </w:num>
  <w:num w:numId="7">
    <w:abstractNumId w:val="12"/>
  </w:num>
  <w:num w:numId="8">
    <w:abstractNumId w:val="10"/>
  </w:num>
  <w:num w:numId="9">
    <w:abstractNumId w:val="4"/>
  </w:num>
  <w:num w:numId="10">
    <w:abstractNumId w:val="17"/>
  </w:num>
  <w:num w:numId="11">
    <w:abstractNumId w:val="14"/>
  </w:num>
  <w:num w:numId="12">
    <w:abstractNumId w:val="9"/>
  </w:num>
  <w:num w:numId="13">
    <w:abstractNumId w:val="3"/>
  </w:num>
  <w:num w:numId="14">
    <w:abstractNumId w:val="16"/>
  </w:num>
  <w:num w:numId="15">
    <w:abstractNumId w:val="13"/>
  </w:num>
  <w:num w:numId="16">
    <w:abstractNumId w:val="8"/>
  </w:num>
  <w:num w:numId="17">
    <w:abstractNumId w:val="2"/>
  </w:num>
  <w:num w:numId="18">
    <w:abstractNumId w:val="11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57">
    <w:name w:val="Placeholder Text"/>
    <w:basedOn w:val="1040"/>
    <w:uiPriority w:val="99"/>
    <w:semiHidden/>
    <w:pPr>
      <w:pBdr/>
      <w:spacing/>
      <w:ind/>
    </w:pPr>
    <w:rPr>
      <w:color w:val="666666"/>
    </w:rPr>
  </w:style>
  <w:style w:type="table" w:styleId="858">
    <w:name w:val="Table Grid Light"/>
    <w:basedOn w:val="10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Plain Table 1"/>
    <w:basedOn w:val="10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Plain Table 2"/>
    <w:basedOn w:val="10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Plain Table 3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Plain Table 4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Plain Table 5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1 Light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1 Light - Accent 1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1 Light - Accent 2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1 Light - Accent 3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1 Light - Accent 4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1 Light - Accent 5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1 Light - Accent 6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2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2 - Accent 1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2 - Accent 2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2 - Accent 3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2 - Accent 4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2 - Accent 5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2 - Accent 6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3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3 - Accent 1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3 - Accent 2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3 - Accent 3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3 - Accent 4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3 - Accent 5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3 - Accent 6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4"/>
    <w:basedOn w:val="10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4 - Accent 1"/>
    <w:basedOn w:val="10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4 - Accent 2"/>
    <w:basedOn w:val="10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4 - Accent 3"/>
    <w:basedOn w:val="10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4 - Accent 4"/>
    <w:basedOn w:val="10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4 - Accent 5"/>
    <w:basedOn w:val="10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4 - Accent 6"/>
    <w:basedOn w:val="10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5 Dark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5 Dark- Accent 1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5 Dark - Accent 2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5 Dark - Accent 3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5 Dark- Accent 4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5 Dark - Accent 5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5 Dark - Accent 6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6 Colorful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6 Colorful - Accent 1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6 Colorful - Accent 2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6 Colorful - Accent 3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6 Colorful - Accent 4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6 Colorful - Accent 5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6 Colorful - Accent 6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7 Colorful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7 Colorful - Accent 1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7 Colorful - Accent 2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7 Colorful - Accent 3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7 Colorful - Accent 4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7 Colorful - Accent 5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7 Colorful - Accent 6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1 Light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1 Light - Accent 1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1 Light - Accent 2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1 Light - Accent 3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1 Light - Accent 4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1 Light - Accent 5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1 Light - Accent 6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2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2 - Accent 1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2 - Accent 2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2 - Accent 3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2 - Accent 4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2 - Accent 5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2 - Accent 6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3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3 - Accent 1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3 - Accent 2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3 - Accent 3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3 - Accent 4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3 - Accent 5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3 - Accent 6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4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4 - Accent 1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4 - Accent 2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4 - Accent 3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4 - Accent 4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4 - Accent 5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4 - Accent 6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5 Dark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5 Dark - Accent 1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5 Dark - Accent 2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5 Dark - Accent 3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5 Dark - Accent 4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5 Dark - Accent 5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5 Dark - Accent 6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6 Colorful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6 Colorful - Accent 1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6 Colorful - Accent 2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6 Colorful - Accent 3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6 Colorful - Accent 4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6 Colorful - Accent 5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6 Colorful - Accent 6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7 Colorful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7 Colorful - Accent 1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7 Colorful - Accent 2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7 Colorful - Accent 3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7 Colorful - Accent 4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7 Colorful - Accent 5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7 Colorful - Accent 6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ned - Accent"/>
    <w:basedOn w:val="10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ned - Accent 1"/>
    <w:basedOn w:val="10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ned - Accent 2"/>
    <w:basedOn w:val="10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ned - Accent 3"/>
    <w:basedOn w:val="10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ned - Accent 4"/>
    <w:basedOn w:val="10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ned - Accent 5"/>
    <w:basedOn w:val="10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ned - Accent 6"/>
    <w:basedOn w:val="10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Bordered &amp; Lined - Accent"/>
    <w:basedOn w:val="10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Bordered &amp; Lined - Accent 1"/>
    <w:basedOn w:val="10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Bordered &amp; Lined - Accent 2"/>
    <w:basedOn w:val="10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Bordered &amp; Lined - Accent 3"/>
    <w:basedOn w:val="10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Bordered &amp; Lined - Accent 4"/>
    <w:basedOn w:val="10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Bordered &amp; Lined - Accent 5"/>
    <w:basedOn w:val="10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Bordered &amp; Lined - Accent 6"/>
    <w:basedOn w:val="10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Bordered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Bordered - Accent 1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Bordered - Accent 2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Bordered - Accent 3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Bordered - Accent 4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Bordered - Accent 5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Bordered - Accent 6"/>
    <w:basedOn w:val="10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3">
    <w:name w:val="Heading 1"/>
    <w:basedOn w:val="1039"/>
    <w:next w:val="1039"/>
    <w:link w:val="99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84">
    <w:name w:val="Heading 2"/>
    <w:basedOn w:val="1039"/>
    <w:next w:val="1039"/>
    <w:link w:val="99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85">
    <w:name w:val="Heading 3"/>
    <w:basedOn w:val="1039"/>
    <w:next w:val="1039"/>
    <w:link w:val="99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86">
    <w:name w:val="Heading 4"/>
    <w:basedOn w:val="1039"/>
    <w:next w:val="1039"/>
    <w:link w:val="99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87">
    <w:name w:val="Heading 5"/>
    <w:basedOn w:val="1039"/>
    <w:next w:val="1039"/>
    <w:link w:val="99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88">
    <w:name w:val="Heading 6"/>
    <w:basedOn w:val="1039"/>
    <w:next w:val="1039"/>
    <w:link w:val="99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89">
    <w:name w:val="Heading 7"/>
    <w:basedOn w:val="1039"/>
    <w:next w:val="1039"/>
    <w:link w:val="99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90">
    <w:name w:val="Heading 8"/>
    <w:basedOn w:val="1039"/>
    <w:next w:val="1039"/>
    <w:link w:val="99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91">
    <w:name w:val="Heading 9"/>
    <w:basedOn w:val="1039"/>
    <w:next w:val="1039"/>
    <w:link w:val="100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92">
    <w:name w:val="Heading 1 Char"/>
    <w:basedOn w:val="1040"/>
    <w:link w:val="9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93">
    <w:name w:val="Heading 2 Char"/>
    <w:basedOn w:val="1040"/>
    <w:link w:val="9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94">
    <w:name w:val="Heading 3 Char"/>
    <w:basedOn w:val="1040"/>
    <w:link w:val="98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95">
    <w:name w:val="Heading 4 Char"/>
    <w:basedOn w:val="1040"/>
    <w:link w:val="98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96">
    <w:name w:val="Heading 5 Char"/>
    <w:basedOn w:val="1040"/>
    <w:link w:val="98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97">
    <w:name w:val="Heading 6 Char"/>
    <w:basedOn w:val="1040"/>
    <w:link w:val="98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98">
    <w:name w:val="Heading 7 Char"/>
    <w:basedOn w:val="1040"/>
    <w:link w:val="98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99">
    <w:name w:val="Heading 8 Char"/>
    <w:basedOn w:val="1040"/>
    <w:link w:val="99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00">
    <w:name w:val="Heading 9 Char"/>
    <w:basedOn w:val="1040"/>
    <w:link w:val="99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001">
    <w:name w:val="Title"/>
    <w:basedOn w:val="1039"/>
    <w:next w:val="1039"/>
    <w:link w:val="100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002">
    <w:name w:val="Title Char"/>
    <w:basedOn w:val="1040"/>
    <w:link w:val="100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03">
    <w:name w:val="Subtitle"/>
    <w:basedOn w:val="1039"/>
    <w:next w:val="1039"/>
    <w:link w:val="100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04">
    <w:name w:val="Subtitle Char"/>
    <w:basedOn w:val="1040"/>
    <w:link w:val="100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05">
    <w:name w:val="Quote"/>
    <w:basedOn w:val="1039"/>
    <w:next w:val="1039"/>
    <w:link w:val="100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06">
    <w:name w:val="Quote Char"/>
    <w:basedOn w:val="1040"/>
    <w:link w:val="100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007">
    <w:name w:val="Intense Emphasis"/>
    <w:basedOn w:val="104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08">
    <w:name w:val="Intense Quote"/>
    <w:basedOn w:val="1039"/>
    <w:next w:val="1039"/>
    <w:link w:val="100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09">
    <w:name w:val="Intense Quote Char"/>
    <w:basedOn w:val="1040"/>
    <w:link w:val="100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10">
    <w:name w:val="Intense Reference"/>
    <w:basedOn w:val="104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11">
    <w:name w:val="No Spacing"/>
    <w:basedOn w:val="1039"/>
    <w:uiPriority w:val="1"/>
    <w:qFormat/>
    <w:pPr>
      <w:pBdr/>
      <w:spacing w:after="0" w:line="240" w:lineRule="auto"/>
      <w:ind/>
    </w:pPr>
  </w:style>
  <w:style w:type="character" w:styleId="1012">
    <w:name w:val="Subtle Emphasis"/>
    <w:basedOn w:val="104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13">
    <w:name w:val="Emphasis"/>
    <w:basedOn w:val="1040"/>
    <w:uiPriority w:val="20"/>
    <w:qFormat/>
    <w:pPr>
      <w:pBdr/>
      <w:spacing/>
      <w:ind/>
    </w:pPr>
    <w:rPr>
      <w:i/>
      <w:iCs/>
    </w:rPr>
  </w:style>
  <w:style w:type="character" w:styleId="1014">
    <w:name w:val="Strong"/>
    <w:basedOn w:val="1040"/>
    <w:uiPriority w:val="22"/>
    <w:qFormat/>
    <w:pPr>
      <w:pBdr/>
      <w:spacing/>
      <w:ind/>
    </w:pPr>
    <w:rPr>
      <w:b/>
      <w:bCs/>
    </w:rPr>
  </w:style>
  <w:style w:type="character" w:styleId="1015">
    <w:name w:val="Subtle Reference"/>
    <w:basedOn w:val="104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16">
    <w:name w:val="Book Title"/>
    <w:basedOn w:val="104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17">
    <w:name w:val="Header Char"/>
    <w:basedOn w:val="1040"/>
    <w:link w:val="1046"/>
    <w:uiPriority w:val="99"/>
    <w:pPr>
      <w:pBdr/>
      <w:spacing/>
      <w:ind/>
    </w:pPr>
  </w:style>
  <w:style w:type="character" w:styleId="1018">
    <w:name w:val="Footer Char"/>
    <w:basedOn w:val="1040"/>
    <w:link w:val="1048"/>
    <w:uiPriority w:val="99"/>
    <w:pPr>
      <w:pBdr/>
      <w:spacing/>
      <w:ind/>
    </w:pPr>
  </w:style>
  <w:style w:type="paragraph" w:styleId="1019">
    <w:name w:val="Caption"/>
    <w:basedOn w:val="1039"/>
    <w:next w:val="103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20">
    <w:name w:val="footnote text"/>
    <w:basedOn w:val="1039"/>
    <w:link w:val="102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21">
    <w:name w:val="Footnote Text Char"/>
    <w:basedOn w:val="1040"/>
    <w:link w:val="1020"/>
    <w:uiPriority w:val="99"/>
    <w:semiHidden/>
    <w:pPr>
      <w:pBdr/>
      <w:spacing/>
      <w:ind/>
    </w:pPr>
    <w:rPr>
      <w:sz w:val="20"/>
      <w:szCs w:val="20"/>
    </w:rPr>
  </w:style>
  <w:style w:type="character" w:styleId="1022">
    <w:name w:val="footnote reference"/>
    <w:basedOn w:val="1040"/>
    <w:uiPriority w:val="99"/>
    <w:semiHidden/>
    <w:unhideWhenUsed/>
    <w:pPr>
      <w:pBdr/>
      <w:spacing/>
      <w:ind/>
    </w:pPr>
    <w:rPr>
      <w:vertAlign w:val="superscript"/>
    </w:rPr>
  </w:style>
  <w:style w:type="paragraph" w:styleId="1023">
    <w:name w:val="endnote text"/>
    <w:basedOn w:val="1039"/>
    <w:link w:val="102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24">
    <w:name w:val="Endnote Text Char"/>
    <w:basedOn w:val="1040"/>
    <w:link w:val="1023"/>
    <w:uiPriority w:val="99"/>
    <w:semiHidden/>
    <w:pPr>
      <w:pBdr/>
      <w:spacing/>
      <w:ind/>
    </w:pPr>
    <w:rPr>
      <w:sz w:val="20"/>
      <w:szCs w:val="20"/>
    </w:rPr>
  </w:style>
  <w:style w:type="character" w:styleId="1025">
    <w:name w:val="endnote reference"/>
    <w:basedOn w:val="1040"/>
    <w:uiPriority w:val="99"/>
    <w:semiHidden/>
    <w:unhideWhenUsed/>
    <w:pPr>
      <w:pBdr/>
      <w:spacing/>
      <w:ind/>
    </w:pPr>
    <w:rPr>
      <w:vertAlign w:val="superscript"/>
    </w:rPr>
  </w:style>
  <w:style w:type="character" w:styleId="1026">
    <w:name w:val="Hyperlink"/>
    <w:basedOn w:val="104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027">
    <w:name w:val="FollowedHyperlink"/>
    <w:basedOn w:val="104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28">
    <w:name w:val="toc 1"/>
    <w:basedOn w:val="1039"/>
    <w:next w:val="1039"/>
    <w:uiPriority w:val="39"/>
    <w:unhideWhenUsed/>
    <w:pPr>
      <w:pBdr/>
      <w:spacing w:after="100"/>
      <w:ind/>
    </w:pPr>
  </w:style>
  <w:style w:type="paragraph" w:styleId="1029">
    <w:name w:val="toc 2"/>
    <w:basedOn w:val="1039"/>
    <w:next w:val="1039"/>
    <w:uiPriority w:val="39"/>
    <w:unhideWhenUsed/>
    <w:pPr>
      <w:pBdr/>
      <w:spacing w:after="100"/>
      <w:ind w:left="220"/>
    </w:pPr>
  </w:style>
  <w:style w:type="paragraph" w:styleId="1030">
    <w:name w:val="toc 3"/>
    <w:basedOn w:val="1039"/>
    <w:next w:val="1039"/>
    <w:uiPriority w:val="39"/>
    <w:unhideWhenUsed/>
    <w:pPr>
      <w:pBdr/>
      <w:spacing w:after="100"/>
      <w:ind w:left="440"/>
    </w:pPr>
  </w:style>
  <w:style w:type="paragraph" w:styleId="1031">
    <w:name w:val="toc 4"/>
    <w:basedOn w:val="1039"/>
    <w:next w:val="1039"/>
    <w:uiPriority w:val="39"/>
    <w:unhideWhenUsed/>
    <w:pPr>
      <w:pBdr/>
      <w:spacing w:after="100"/>
      <w:ind w:left="660"/>
    </w:pPr>
  </w:style>
  <w:style w:type="paragraph" w:styleId="1032">
    <w:name w:val="toc 5"/>
    <w:basedOn w:val="1039"/>
    <w:next w:val="1039"/>
    <w:uiPriority w:val="39"/>
    <w:unhideWhenUsed/>
    <w:pPr>
      <w:pBdr/>
      <w:spacing w:after="100"/>
      <w:ind w:left="880"/>
    </w:pPr>
  </w:style>
  <w:style w:type="paragraph" w:styleId="1033">
    <w:name w:val="toc 6"/>
    <w:basedOn w:val="1039"/>
    <w:next w:val="1039"/>
    <w:uiPriority w:val="39"/>
    <w:unhideWhenUsed/>
    <w:pPr>
      <w:pBdr/>
      <w:spacing w:after="100"/>
      <w:ind w:left="1100"/>
    </w:pPr>
  </w:style>
  <w:style w:type="paragraph" w:styleId="1034">
    <w:name w:val="toc 7"/>
    <w:basedOn w:val="1039"/>
    <w:next w:val="1039"/>
    <w:uiPriority w:val="39"/>
    <w:unhideWhenUsed/>
    <w:pPr>
      <w:pBdr/>
      <w:spacing w:after="100"/>
      <w:ind w:left="1320"/>
    </w:pPr>
  </w:style>
  <w:style w:type="paragraph" w:styleId="1035">
    <w:name w:val="toc 8"/>
    <w:basedOn w:val="1039"/>
    <w:next w:val="1039"/>
    <w:uiPriority w:val="39"/>
    <w:unhideWhenUsed/>
    <w:pPr>
      <w:pBdr/>
      <w:spacing w:after="100"/>
      <w:ind w:left="1540"/>
    </w:pPr>
  </w:style>
  <w:style w:type="paragraph" w:styleId="1036">
    <w:name w:val="toc 9"/>
    <w:basedOn w:val="1039"/>
    <w:next w:val="1039"/>
    <w:uiPriority w:val="39"/>
    <w:unhideWhenUsed/>
    <w:pPr>
      <w:pBdr/>
      <w:spacing w:after="100"/>
      <w:ind w:left="1760"/>
    </w:pPr>
  </w:style>
  <w:style w:type="paragraph" w:styleId="1037">
    <w:name w:val="TOC Heading"/>
    <w:uiPriority w:val="39"/>
    <w:unhideWhenUsed/>
    <w:pPr>
      <w:pBdr/>
      <w:spacing/>
      <w:ind/>
    </w:pPr>
  </w:style>
  <w:style w:type="paragraph" w:styleId="1038">
    <w:name w:val="table of figures"/>
    <w:basedOn w:val="1039"/>
    <w:next w:val="1039"/>
    <w:uiPriority w:val="99"/>
    <w:unhideWhenUsed/>
    <w:pPr>
      <w:pBdr/>
      <w:spacing w:after="0" w:afterAutospacing="0"/>
      <w:ind/>
    </w:pPr>
  </w:style>
  <w:style w:type="paragraph" w:styleId="1039" w:default="1">
    <w:name w:val="Normal"/>
    <w:qFormat/>
    <w:pPr>
      <w:pBdr/>
      <w:spacing/>
      <w:ind/>
    </w:pPr>
    <w:rPr>
      <w:rFonts w:ascii="Times New Roman" w:hAnsi="Times New Roman" w:eastAsia="Times New Roman"/>
      <w:sz w:val="24"/>
      <w:szCs w:val="24"/>
    </w:rPr>
  </w:style>
  <w:style w:type="character" w:styleId="1040" w:default="1">
    <w:name w:val="Default Paragraph Font"/>
    <w:uiPriority w:val="1"/>
    <w:semiHidden/>
    <w:unhideWhenUsed/>
    <w:pPr>
      <w:pBdr/>
      <w:spacing/>
      <w:ind/>
    </w:pPr>
  </w:style>
  <w:style w:type="table" w:styleId="104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42" w:default="1">
    <w:name w:val="No List"/>
    <w:uiPriority w:val="99"/>
    <w:semiHidden/>
    <w:unhideWhenUsed/>
    <w:pPr>
      <w:pBdr/>
      <w:spacing/>
      <w:ind/>
    </w:pPr>
  </w:style>
  <w:style w:type="paragraph" w:styleId="1043" w:customStyle="1">
    <w:name w:val="ConsPlusTitle"/>
    <w:uiPriority w:val="99"/>
    <w:pPr>
      <w:pBdr/>
      <w:spacing/>
      <w:ind/>
    </w:pPr>
    <w:rPr>
      <w:rFonts w:ascii="Times New Roman" w:hAnsi="Times New Roman" w:eastAsia="Times New Roman"/>
      <w:b/>
      <w:bCs/>
      <w:sz w:val="28"/>
      <w:szCs w:val="28"/>
    </w:rPr>
  </w:style>
  <w:style w:type="paragraph" w:styleId="1044" w:customStyle="1">
    <w:name w:val="ConsPlusCell"/>
    <w:pPr>
      <w:pBdr/>
      <w:spacing/>
      <w:ind/>
    </w:pPr>
    <w:rPr>
      <w:rFonts w:ascii="Arial" w:hAnsi="Arial" w:eastAsia="Times New Roman" w:cs="Arial"/>
    </w:rPr>
  </w:style>
  <w:style w:type="character" w:styleId="1045">
    <w:name w:val="page number"/>
    <w:basedOn w:val="1040"/>
    <w:pPr>
      <w:pBdr/>
      <w:spacing/>
      <w:ind/>
    </w:pPr>
  </w:style>
  <w:style w:type="paragraph" w:styleId="1046">
    <w:name w:val="Header"/>
    <w:basedOn w:val="1039"/>
    <w:link w:val="1047"/>
    <w:pPr>
      <w:widowControl w:val="false"/>
      <w:pBdr/>
      <w:tabs>
        <w:tab w:val="center" w:leader="none" w:pos="4153"/>
        <w:tab w:val="right" w:leader="none" w:pos="8306"/>
      </w:tabs>
      <w:spacing w:before="60" w:line="360" w:lineRule="auto"/>
      <w:ind w:firstLine="709"/>
      <w:jc w:val="both"/>
    </w:pPr>
    <w:rPr>
      <w:sz w:val="28"/>
      <w:szCs w:val="20"/>
    </w:rPr>
  </w:style>
  <w:style w:type="character" w:styleId="1047" w:customStyle="1">
    <w:name w:val="Верхний колонтитул Знак"/>
    <w:link w:val="1046"/>
    <w:uiPriority w:val="99"/>
    <w:pPr>
      <w:pBdr/>
      <w:spacing/>
      <w:ind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048">
    <w:name w:val="Footer"/>
    <w:basedOn w:val="1039"/>
    <w:link w:val="1049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49" w:customStyle="1">
    <w:name w:val="Нижний колонтитул Знак"/>
    <w:link w:val="1048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50">
    <w:name w:val="List Paragraph"/>
    <w:basedOn w:val="1039"/>
    <w:uiPriority w:val="34"/>
    <w:qFormat/>
    <w:pPr>
      <w:pBdr/>
      <w:spacing/>
      <w:ind w:left="720"/>
      <w:contextualSpacing w:val="true"/>
    </w:pPr>
  </w:style>
  <w:style w:type="paragraph" w:styleId="1051" w:customStyle="1">
    <w:name w:val="Знак Знак Знак Знак Знак Знак Знак Знак Знак Знак"/>
    <w:basedOn w:val="1039"/>
    <w:pPr>
      <w:pBdr/>
      <w:spacing w:after="100" w:afterAutospacing="1" w:before="100" w:beforeAutospacing="1"/>
      <w:ind/>
    </w:pPr>
    <w:rPr>
      <w:rFonts w:ascii="Tahoma" w:hAnsi="Tahoma" w:cs="Tahoma"/>
      <w:sz w:val="20"/>
      <w:szCs w:val="20"/>
      <w:lang w:val="en-US" w:eastAsia="en-US"/>
    </w:rPr>
  </w:style>
  <w:style w:type="table" w:styleId="1052">
    <w:name w:val="Table Grid"/>
    <w:basedOn w:val="1041"/>
    <w:pPr>
      <w:pBdr/>
      <w:spacing/>
      <w:ind/>
    </w:pPr>
    <w:rPr>
      <w:rFonts w:ascii="Times New Roman" w:hAnsi="Times New Roman"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53">
    <w:name w:val="Balloon Text"/>
    <w:basedOn w:val="1039"/>
    <w:link w:val="1054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54" w:customStyle="1">
    <w:name w:val="Текст выноски Знак"/>
    <w:link w:val="1053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  <w:lang w:eastAsia="ru-RU"/>
    </w:rPr>
  </w:style>
  <w:style w:type="paragraph" w:styleId="1055" w:customStyle="1">
    <w:name w:val="ConsPlusNormal"/>
    <w:pPr>
      <w:widowControl w:val="false"/>
      <w:pBdr/>
      <w:spacing/>
      <w:ind/>
    </w:pPr>
    <w:rPr>
      <w:rFonts w:ascii="Arial" w:hAnsi="Arial" w:eastAsia="Times New Roman" w:cs="Arial"/>
    </w:rPr>
  </w:style>
  <w:style w:type="paragraph" w:styleId="1056" w:customStyle="1">
    <w:name w:val="Подписание"/>
    <w:basedOn w:val="1039"/>
    <w:pPr>
      <w:widowControl w:val="false"/>
      <w:pBdr/>
      <w:spacing/>
      <w:ind w:firstLine="709"/>
      <w:jc w:val="both"/>
    </w:pPr>
    <w:rPr>
      <w:sz w:val="28"/>
      <w:szCs w:val="20"/>
    </w:rPr>
  </w:style>
  <w:style w:type="paragraph" w:styleId="1057">
    <w:name w:val="Normal (Web)"/>
    <w:basedOn w:val="1039"/>
    <w:uiPriority w:val="99"/>
    <w:semiHidden/>
    <w:unhideWhenUsed/>
    <w:pPr>
      <w:pBdr/>
      <w:spacing w:after="100" w:afterAutospacing="1" w:before="100" w:beforeAutospacing="1"/>
      <w:ind/>
    </w:pPr>
  </w:style>
  <w:style w:type="character" w:styleId="1058" w:customStyle="1">
    <w:name w:val="StGen0"/>
    <w:pPr>
      <w:pBdr/>
      <w:spacing/>
      <w:ind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footer" Target="footer3.xml" /><Relationship Id="rId17" Type="http://schemas.openxmlformats.org/officeDocument/2006/relationships/customXml" Target="../customXml/item1.xml" /><Relationship Id="rId18" Type="http://schemas.openxmlformats.org/officeDocument/2006/relationships/hyperlink" Target="https://login.consultant.ru/link/?req=doc&amp;base=RLAW363&amp;n=186787&amp;date=24.02.2025" TargetMode="External"/><Relationship Id="rId19" Type="http://schemas.openxmlformats.org/officeDocument/2006/relationships/hyperlink" Target="https://login.consultant.ru/link/?req=doc&amp;base=RLAW363&amp;n=186787&amp;date=24.02.2025" TargetMode="External"/><Relationship Id="rId20" Type="http://schemas.openxmlformats.org/officeDocument/2006/relationships/hyperlink" Target="https://login.consultant.ru/link/?req=doc&amp;base=RLAW363&amp;n=186787&amp;date=24.02.2025" TargetMode="External"/><Relationship Id="rId21" Type="http://schemas.openxmlformats.org/officeDocument/2006/relationships/hyperlink" Target="https://login.consultant.ru/link/?req=doc&amp;base=RLAW363&amp;n=186787&amp;date=24.02.2025" TargetMode="External"/><Relationship Id="rId22" Type="http://schemas.openxmlformats.org/officeDocument/2006/relationships/hyperlink" Target="https://login.consultant.ru/link/?req=doc&amp;base=RLAW363&amp;n=186787&amp;date=24.02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FABCA-6BD6-471D-9976-AB49E38D7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cp:revision>29</cp:revision>
  <dcterms:created xsi:type="dcterms:W3CDTF">2024-09-03T08:22:00Z</dcterms:created>
  <dcterms:modified xsi:type="dcterms:W3CDTF">2025-09-02T08:19:22Z</dcterms:modified>
</cp:coreProperties>
</file>