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6"/>
        <w:pBdr/>
        <w:spacing/>
        <w:ind w:right="282" w:left="2126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0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 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                    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 xml:space="preserve">№ _____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609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 утверждении нормативных затрат организаций социального обслуживания Республики Татарстан </w:t>
      </w:r>
      <w:bookmarkStart w:id="0" w:name="_Hlk173744425"/>
      <w:r>
        <w:rPr>
          <w:sz w:val="28"/>
          <w:szCs w:val="28"/>
          <w:highlight w:val="white"/>
        </w:rPr>
        <w:t xml:space="preserve">на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bookmarkEnd w:id="0"/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firstLine="720" w:left="-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firstLine="720" w:left="-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firstLine="720" w:left="-426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 Министров Республики Татарстан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firstLine="720" w:left="-426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tabs>
          <w:tab w:val="num" w:leader="none" w:pos="960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прилагаемые: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затраты</w:t>
      </w:r>
      <w:r>
        <w:rPr>
          <w:sz w:val="28"/>
          <w:szCs w:val="28"/>
          <w:highlight w:val="white"/>
        </w:rPr>
        <w:t xml:space="preserve"> на оказание государственных услуг по предоставлению социального обслуживания в стационарной форме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включая оказ</w:t>
      </w:r>
      <w:r>
        <w:rPr>
          <w:sz w:val="28"/>
          <w:szCs w:val="28"/>
          <w:highlight w:val="white"/>
        </w:rPr>
        <w:t xml:space="preserve">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</w:t>
      </w:r>
      <w:r>
        <w:rPr>
          <w:sz w:val="28"/>
          <w:szCs w:val="28"/>
          <w:highlight w:val="white"/>
        </w:rPr>
        <w:t xml:space="preserve">на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затраты на оказание государственных услуг по предоставл</w:t>
      </w:r>
      <w:r>
        <w:rPr>
          <w:sz w:val="28"/>
          <w:szCs w:val="28"/>
          <w:highlight w:val="white"/>
        </w:rPr>
        <w:t xml:space="preserve">ению социального обслуживания в стационарной и </w:t>
      </w:r>
      <w:r>
        <w:rPr>
          <w:sz w:val="28"/>
          <w:szCs w:val="28"/>
          <w:highlight w:val="white"/>
        </w:rPr>
        <w:t xml:space="preserve">полустационарной форм</w:t>
      </w:r>
      <w:r>
        <w:rPr>
          <w:sz w:val="28"/>
          <w:szCs w:val="28"/>
          <w:highlight w:val="white"/>
        </w:rPr>
        <w:t xml:space="preserve">ах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включая оказ</w:t>
      </w:r>
      <w:r>
        <w:rPr>
          <w:sz w:val="28"/>
          <w:szCs w:val="28"/>
          <w:highlight w:val="white"/>
        </w:rPr>
        <w:t xml:space="preserve">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</w:t>
      </w:r>
      <w:r>
        <w:rPr>
          <w:sz w:val="28"/>
          <w:szCs w:val="28"/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</w:t>
      </w:r>
      <w:r>
        <w:rPr>
          <w:sz w:val="28"/>
          <w:szCs w:val="28"/>
          <w:highlight w:val="white"/>
        </w:rPr>
        <w:t xml:space="preserve">на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затраты на оказание государственных услуг центр</w:t>
      </w:r>
      <w:r>
        <w:rPr>
          <w:sz w:val="28"/>
          <w:szCs w:val="28"/>
          <w:highlight w:val="white"/>
        </w:rPr>
        <w:t xml:space="preserve">ами</w:t>
      </w:r>
      <w:r>
        <w:rPr>
          <w:sz w:val="28"/>
          <w:szCs w:val="28"/>
          <w:highlight w:val="white"/>
        </w:rPr>
        <w:t xml:space="preserve"> социальной помощи семье и детям, отделени</w:t>
      </w:r>
      <w:r>
        <w:rPr>
          <w:sz w:val="28"/>
          <w:szCs w:val="28"/>
          <w:highlight w:val="white"/>
        </w:rPr>
        <w:t xml:space="preserve">ями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</w:t>
      </w:r>
      <w:r>
        <w:rPr>
          <w:sz w:val="28"/>
          <w:szCs w:val="28"/>
          <w:highlight w:val="white"/>
        </w:rPr>
        <w:t xml:space="preserve">помощи семье и детям, отделени</w:t>
      </w:r>
      <w:r>
        <w:rPr>
          <w:sz w:val="28"/>
          <w:szCs w:val="28"/>
          <w:highlight w:val="white"/>
        </w:rPr>
        <w:t xml:space="preserve">ями</w:t>
      </w:r>
      <w:r>
        <w:rPr>
          <w:sz w:val="28"/>
          <w:szCs w:val="28"/>
          <w:highlight w:val="white"/>
        </w:rPr>
        <w:t xml:space="preserve"> социального обслуживания на дому комплексных центров социального обслуживания населения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</w:t>
      </w:r>
      <w:r>
        <w:rPr>
          <w:sz w:val="28"/>
          <w:szCs w:val="28"/>
          <w:highlight w:val="white"/>
        </w:rPr>
        <w:t xml:space="preserve">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коэффициенты к нормативным затратам, непосредственно связанны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с оказанием государственной услуги</w:t>
      </w:r>
      <w:r>
        <w:rPr>
          <w:sz w:val="28"/>
          <w:szCs w:val="28"/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</w:t>
      </w:r>
      <w:r>
        <w:rPr>
          <w:sz w:val="28"/>
          <w:szCs w:val="28"/>
          <w:highlight w:val="white"/>
        </w:rPr>
        <w:t xml:space="preserve">на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коэффициенты </w:t>
      </w:r>
      <w:r>
        <w:rPr>
          <w:sz w:val="28"/>
          <w:szCs w:val="28"/>
          <w:highlight w:val="white"/>
        </w:rPr>
        <w:t xml:space="preserve">к иным затратам в составе нормативных затрат </w:t>
      </w:r>
      <w:r>
        <w:rPr>
          <w:sz w:val="28"/>
          <w:szCs w:val="28"/>
          <w:highlight w:val="white"/>
        </w:rPr>
        <w:t xml:space="preserve">на общехозяйственные нужды</w:t>
      </w:r>
      <w:r>
        <w:rPr>
          <w:sz w:val="28"/>
          <w:szCs w:val="28"/>
          <w:highlight w:val="white"/>
        </w:rPr>
        <w:t xml:space="preserve">, связанные с</w:t>
      </w:r>
      <w:r>
        <w:rPr>
          <w:sz w:val="28"/>
          <w:szCs w:val="28"/>
          <w:highlight w:val="white"/>
        </w:rPr>
        <w:t xml:space="preserve"> оказание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государственной услуги</w:t>
      </w:r>
      <w:r>
        <w:rPr>
          <w:sz w:val="28"/>
          <w:szCs w:val="28"/>
          <w:highlight w:val="white"/>
        </w:rPr>
        <w:t xml:space="preserve">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</w:t>
      </w:r>
      <w:r>
        <w:rPr>
          <w:sz w:val="28"/>
          <w:szCs w:val="28"/>
          <w:highlight w:val="white"/>
        </w:rPr>
        <w:t xml:space="preserve">на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коэффициенты к </w:t>
      </w:r>
      <w:r>
        <w:rPr>
          <w:sz w:val="28"/>
          <w:szCs w:val="28"/>
          <w:highlight w:val="white"/>
        </w:rPr>
        <w:t xml:space="preserve">иным затратам в составе нормативных затрат </w:t>
      </w:r>
      <w:r>
        <w:rPr>
          <w:sz w:val="28"/>
          <w:szCs w:val="28"/>
          <w:highlight w:val="white"/>
        </w:rPr>
        <w:t xml:space="preserve">на оказание государственных услуг центр</w:t>
      </w:r>
      <w:r>
        <w:rPr>
          <w:sz w:val="28"/>
          <w:szCs w:val="28"/>
          <w:highlight w:val="white"/>
        </w:rPr>
        <w:t xml:space="preserve">ами</w:t>
      </w:r>
      <w:r>
        <w:rPr>
          <w:sz w:val="28"/>
          <w:szCs w:val="28"/>
          <w:highlight w:val="white"/>
        </w:rPr>
        <w:t xml:space="preserve"> социальной помощи семье и детям, отделени</w:t>
      </w:r>
      <w:r>
        <w:rPr>
          <w:sz w:val="28"/>
          <w:szCs w:val="28"/>
          <w:highlight w:val="white"/>
        </w:rPr>
        <w:t xml:space="preserve">ями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социальной </w:t>
      </w:r>
      <w:r>
        <w:rPr>
          <w:sz w:val="28"/>
          <w:szCs w:val="28"/>
          <w:highlight w:val="white"/>
        </w:rPr>
        <w:t xml:space="preserve">помощи семье и детям, отделени</w:t>
      </w:r>
      <w:r>
        <w:rPr>
          <w:sz w:val="28"/>
          <w:szCs w:val="28"/>
          <w:highlight w:val="white"/>
        </w:rPr>
        <w:t xml:space="preserve">ями</w:t>
      </w:r>
      <w:r>
        <w:rPr>
          <w:sz w:val="28"/>
          <w:szCs w:val="28"/>
          <w:highlight w:val="white"/>
        </w:rPr>
        <w:t xml:space="preserve"> социального </w:t>
      </w:r>
      <w:r>
        <w:rPr>
          <w:sz w:val="28"/>
          <w:szCs w:val="28"/>
          <w:highlight w:val="white"/>
        </w:rPr>
        <w:t xml:space="preserve">обслуживания на дому комплексных центров социального обслуживания населения</w:t>
      </w:r>
      <w:r>
        <w:rPr>
          <w:sz w:val="28"/>
          <w:szCs w:val="28"/>
          <w:highlight w:val="white"/>
        </w:rPr>
        <w:t xml:space="preserve">, </w:t>
      </w:r>
      <w:r>
        <w:rPr>
          <w:sz w:val="28"/>
          <w:szCs w:val="28"/>
          <w:highlight w:val="white"/>
        </w:rPr>
        <w:t xml:space="preserve">осуществляющих свою деятельность</w:t>
      </w:r>
      <w:r>
        <w:rPr>
          <w:sz w:val="28"/>
          <w:szCs w:val="28"/>
          <w:highlight w:val="white"/>
        </w:rPr>
        <w:t xml:space="preserve"> на территории муниципальных образований (городских округов),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2026 год и на плановый период 2027</w:t>
      </w:r>
      <w:r>
        <w:rPr>
          <w:sz w:val="28"/>
          <w:szCs w:val="28"/>
          <w:highlight w:val="white"/>
        </w:rPr>
        <w:t xml:space="preserve"> и </w:t>
      </w:r>
      <w:r>
        <w:rPr>
          <w:sz w:val="28"/>
          <w:szCs w:val="28"/>
          <w:highlight w:val="white"/>
        </w:rPr>
        <w:t xml:space="preserve">2028 годов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</w:t>
      </w:r>
      <w:r>
        <w:rPr>
          <w:sz w:val="28"/>
          <w:szCs w:val="28"/>
          <w:highlight w:val="white"/>
        </w:rPr>
        <w:t xml:space="preserve">ство койко-дней и койко-мест в организациях социального обслуживания, находящихся в ведении Республики Татарстан со стационарной формой социального обслуживания, осуществляющих свою деятельность на территории муниципальных образований (городских округов), 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</w:t>
      </w:r>
      <w:bookmarkStart w:id="1" w:name="_GoBack"/>
      <w:r>
        <w:rPr>
          <w:highlight w:val="white"/>
        </w:rPr>
      </w:r>
      <w:bookmarkEnd w:id="1"/>
      <w:r>
        <w:rPr>
          <w:sz w:val="28"/>
          <w:szCs w:val="28"/>
          <w:highlight w:val="white"/>
        </w:rPr>
        <w:t xml:space="preserve">оличество койко-дней и койко-мест в организациях социального обслуживания, н</w:t>
      </w:r>
      <w:r>
        <w:rPr>
          <w:sz w:val="28"/>
          <w:szCs w:val="28"/>
          <w:highlight w:val="white"/>
        </w:rPr>
        <w:t xml:space="preserve">аходящихся в ведении Республики Татарстан со стационарной и полустационарной формами социального обслуживания, осуществляющих свою деятельность на территории муниципальных образований (городских округов), на 2026 год и на плановый период 2027 и 2028 годов.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2.</w:t>
      </w:r>
      <w:r>
        <w:rPr>
          <w:sz w:val="28"/>
          <w:szCs w:val="28"/>
          <w:highlight w:val="white"/>
        </w:rPr>
        <w:t xml:space="preserve"> Установить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величин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 денежной компенсации на приобретение мягкого инвентаря и оборудования </w:t>
      </w:r>
      <w:r>
        <w:rPr>
          <w:sz w:val="28"/>
          <w:szCs w:val="28"/>
          <w:highlight w:val="white"/>
        </w:rPr>
        <w:t xml:space="preserve">на одного </w:t>
      </w:r>
      <w:r>
        <w:rPr>
          <w:sz w:val="28"/>
          <w:szCs w:val="28"/>
          <w:highlight w:val="white"/>
        </w:rPr>
        <w:t xml:space="preserve">социальн</w:t>
      </w:r>
      <w:r>
        <w:rPr>
          <w:sz w:val="28"/>
          <w:szCs w:val="28"/>
          <w:highlight w:val="white"/>
        </w:rPr>
        <w:t xml:space="preserve">ого</w:t>
      </w:r>
      <w:r>
        <w:rPr>
          <w:sz w:val="28"/>
          <w:szCs w:val="28"/>
          <w:highlight w:val="white"/>
        </w:rPr>
        <w:t xml:space="preserve"> работник</w:t>
      </w:r>
      <w:r>
        <w:rPr>
          <w:sz w:val="28"/>
          <w:szCs w:val="28"/>
          <w:highlight w:val="white"/>
        </w:rPr>
        <w:t xml:space="preserve">а </w:t>
      </w:r>
      <w:r>
        <w:rPr>
          <w:sz w:val="28"/>
          <w:szCs w:val="28"/>
          <w:highlight w:val="white"/>
        </w:rPr>
        <w:t xml:space="preserve">организаций социального обслуживания, находящихся в ведении Республики Татарстан</w:t>
      </w:r>
      <w:r>
        <w:rPr>
          <w:sz w:val="28"/>
          <w:szCs w:val="28"/>
          <w:highlight w:val="white"/>
        </w:rPr>
        <w:t xml:space="preserve">,</w:t>
      </w:r>
      <w:r>
        <w:rPr>
          <w:sz w:val="28"/>
          <w:szCs w:val="28"/>
          <w:highlight w:val="white"/>
        </w:rPr>
        <w:t xml:space="preserve"> </w:t>
      </w:r>
      <w:r>
        <w:rPr>
          <w:rFonts w:eastAsia="Calibri"/>
          <w:sz w:val="28"/>
          <w:szCs w:val="28"/>
          <w:highlight w:val="white"/>
        </w:rPr>
        <w:t xml:space="preserve">предоставляющих социальные услуги </w:t>
      </w:r>
      <w:r>
        <w:rPr>
          <w:sz w:val="28"/>
          <w:szCs w:val="28"/>
          <w:highlight w:val="white"/>
        </w:rPr>
        <w:t xml:space="preserve">в форме </w:t>
      </w:r>
      <w:r>
        <w:rPr>
          <w:sz w:val="28"/>
          <w:szCs w:val="28"/>
          <w:highlight w:val="white"/>
        </w:rPr>
        <w:t xml:space="preserve">социального обслуживания на дому</w:t>
      </w:r>
      <w:r>
        <w:rPr>
          <w:sz w:val="28"/>
          <w:szCs w:val="28"/>
          <w:highlight w:val="white"/>
        </w:rPr>
        <w:t xml:space="preserve">, на 2026 год и на плановый период 2027 и 2028 годов </w:t>
      </w: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размере </w:t>
      </w: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678</w:t>
      </w:r>
      <w:r>
        <w:rPr>
          <w:sz w:val="28"/>
          <w:szCs w:val="28"/>
          <w:highlight w:val="white"/>
        </w:rPr>
        <w:t xml:space="preserve"> рублей в год.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3. Признать утратившими силу следующие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остановления Кабинета Министров Республики Татарстан: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.09.202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№ 816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Об утверждении нормативных затрат организаций социального обслуживания Республики Татарстан </w:t>
      </w:r>
      <w:r>
        <w:rPr>
          <w:sz w:val="28"/>
          <w:szCs w:val="28"/>
          <w:highlight w:val="white"/>
        </w:rPr>
        <w:t xml:space="preserve">на 2025 год и на плановый период 2026 и 2027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30</w:t>
      </w:r>
      <w:r>
        <w:rPr>
          <w:sz w:val="28"/>
          <w:szCs w:val="28"/>
          <w:highlight w:val="white"/>
        </w:rPr>
        <w:t xml:space="preserve">.10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941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количество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ований (городских округов), на 2025 год и на плановый период 2026 и 2027 годов, утвержденное постановлением Кабинета Министров Республики Татарстан от 20.09.2024 № 816 «Об утверждении нормативных затрат организаций социального обслуживания Республики Татар</w:t>
      </w:r>
      <w:r>
        <w:rPr>
          <w:sz w:val="28"/>
          <w:szCs w:val="28"/>
          <w:highlight w:val="white"/>
        </w:rPr>
        <w:t xml:space="preserve">стан на 2025 год и на плановый период 2026 и 2027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17</w:t>
      </w:r>
      <w:r>
        <w:rPr>
          <w:sz w:val="28"/>
          <w:szCs w:val="28"/>
          <w:highlight w:val="white"/>
        </w:rPr>
        <w:t xml:space="preserve">.12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1154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внесении изменений в постановление Кабинета Министров Республики Татарстан от 20.09.2024 № 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29</w:t>
      </w:r>
      <w:r>
        <w:rPr>
          <w:sz w:val="28"/>
          <w:szCs w:val="28"/>
          <w:highlight w:val="white"/>
        </w:rPr>
        <w:t xml:space="preserve">.04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279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  <w:t xml:space="preserve"> внесении изменений в количество койко-дней и койко-мест в организациях социального обслуживания, находящихся в ведении Республики Татарстан, со стационарной формой социального обслуживания, осуществляющих свою деятельность на территории муниципальных обра</w:t>
      </w:r>
      <w:r>
        <w:rPr>
          <w:sz w:val="28"/>
          <w:szCs w:val="28"/>
          <w:highlight w:val="white"/>
        </w:rPr>
        <w:t xml:space="preserve">з</w:t>
      </w:r>
      <w:r>
        <w:rPr>
          <w:sz w:val="28"/>
          <w:szCs w:val="28"/>
          <w:highlight w:val="white"/>
        </w:rPr>
        <w:t xml:space="preserve">ований (городских округов), на 2025 год и на плановый период 2026 и 2027 годов, утвержденное постановлением Кабинета Министров Республики Татарстан от 20.09.2024 № 816 «Об утверждении нормативных затрат организаций социального обслуживания Республики Татар</w:t>
      </w:r>
      <w:r>
        <w:rPr>
          <w:sz w:val="28"/>
          <w:szCs w:val="28"/>
          <w:highlight w:val="white"/>
        </w:rPr>
        <w:t xml:space="preserve">стан на 2025 год и на плановый период 2026 и 2027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от 05</w:t>
      </w:r>
      <w:r>
        <w:rPr>
          <w:sz w:val="28"/>
          <w:szCs w:val="28"/>
          <w:highlight w:val="white"/>
        </w:rPr>
        <w:t xml:space="preserve">.05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291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внесении изменений в постановление Кабинета Министров Республики Татарстан от 20.09.2024 № 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от 27</w:t>
      </w:r>
      <w:r>
        <w:rPr>
          <w:sz w:val="28"/>
          <w:szCs w:val="28"/>
          <w:highlight w:val="white"/>
        </w:rPr>
        <w:t xml:space="preserve">.05</w:t>
      </w:r>
      <w:r>
        <w:rPr>
          <w:sz w:val="28"/>
          <w:szCs w:val="28"/>
          <w:highlight w:val="white"/>
        </w:rPr>
        <w:t xml:space="preserve">.202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№ </w:t>
      </w:r>
      <w:r>
        <w:rPr>
          <w:sz w:val="28"/>
          <w:szCs w:val="28"/>
          <w:highlight w:val="white"/>
        </w:rPr>
        <w:t xml:space="preserve">361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О внесении изменений в постановление Кабинета Министров Республики Татарстан от 20.09.2024 № 816 «Об утверждении нормативных затрат организаций социального обслуживания Республики Татарстан на 2025 год и на плановый период 2026 и 2027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4. Контроль за исполнением настоящего постановления возложить на Министерство труда, занятости и социальной защиты Республики Татарстан.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r>
        <w:rPr>
          <w:sz w:val="28"/>
          <w:szCs w:val="28"/>
          <w:highlight w:val="white"/>
        </w:rPr>
        <w:t xml:space="preserve">Установить, что настоящее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остановление вступает в силу с 1 января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6</w:t>
      </w:r>
      <w:r>
        <w:rPr>
          <w:sz w:val="28"/>
          <w:szCs w:val="28"/>
          <w:highlight w:val="white"/>
        </w:rPr>
        <w:t xml:space="preserve"> г</w:t>
      </w:r>
      <w:r>
        <w:rPr>
          <w:sz w:val="28"/>
          <w:szCs w:val="28"/>
          <w:highlight w:val="white"/>
        </w:rPr>
        <w:t xml:space="preserve">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Премьер-министр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" w:firstLine="0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  <w:tab/>
        <w:tab/>
        <w:tab/>
        <w:tab/>
        <w:tab/>
        <w:tab/>
        <w:tab/>
        <w:tab/>
        <w:t xml:space="preserve">А.В. Песошин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both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erReference w:type="default" r:id="rId13"/>
          <w:footerReference w:type="first" r:id="rId14"/>
          <w:footnotePr/>
          <w:endnotePr/>
          <w:type w:val="nextPage"/>
          <w:pgSz w:h="16838" w:orient="portrait" w:w="11906"/>
          <w:pgMar w:top="851" w:right="424" w:bottom="851" w:left="1134" w:header="708" w:footer="708" w:gutter="0"/>
          <w:pgNumType w:start="1"/>
          <w:cols w:num="1" w:sep="0" w:space="708" w:equalWidth="1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/>
        <w:ind w:right="-3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Нормативные </w:t>
      </w:r>
      <w:r>
        <w:rPr>
          <w:b w:val="0"/>
          <w:highlight w:val="white"/>
        </w:rPr>
        <w:t xml:space="preserve">затраты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</w:t>
      </w:r>
      <w:r>
        <w:rPr>
          <w:b w:val="0"/>
          <w:highlight w:val="white"/>
        </w:rPr>
        <w:t xml:space="preserve">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</w:t>
      </w:r>
      <w:r>
        <w:rPr>
          <w:rFonts w:eastAsia="Calibri"/>
          <w:b w:val="0"/>
          <w:highlight w:val="white"/>
        </w:rPr>
        <w:t xml:space="preserve">находящихся в ведении </w:t>
      </w:r>
      <w:r>
        <w:rPr>
          <w:b w:val="0"/>
          <w:highlight w:val="white"/>
        </w:rPr>
        <w:t xml:space="preserve">Республики Татарстан, на 2026 год и на плановый период 2027 и 2028 годов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 w:right="282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numPr>
          <w:ilvl w:val="0"/>
          <w:numId w:val="17"/>
        </w:numPr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Н</w:t>
      </w:r>
      <w:r>
        <w:rPr>
          <w:b w:val="0"/>
          <w:highlight w:val="white"/>
        </w:rPr>
        <w:t xml:space="preserve">ормативные затраты</w:t>
      </w:r>
      <w:r>
        <w:rPr>
          <w:b w:val="0"/>
          <w:highlight w:val="white"/>
        </w:rPr>
        <w:t xml:space="preserve">, непосредственно связанные с оказанием государственной услуги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tbl>
      <w:tblPr>
        <w:tblW w:w="153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58"/>
        <w:gridCol w:w="4641"/>
        <w:gridCol w:w="1738"/>
        <w:gridCol w:w="1738"/>
        <w:gridCol w:w="1593"/>
        <w:gridCol w:w="1593"/>
        <w:gridCol w:w="1594"/>
        <w:gridCol w:w="1594"/>
      </w:tblGrid>
      <w:tr>
        <w:trPr>
          <w:trHeight w:val="524"/>
        </w:trPr>
        <w:tc>
          <w:tcPr>
            <w:shd w:val="clear" w:color="auto" w:fill="auto"/>
            <w:tcBorders/>
            <w:tcW w:w="858" w:type="dxa"/>
            <w:vMerge w:val="restart"/>
            <w:textDirection w:val="lrTb"/>
            <w:noWrap w:val="false"/>
          </w:tcPr>
          <w:p>
            <w:pPr>
              <w:pStyle w:val="1039"/>
              <w:pBdr/>
              <w:spacing/>
              <w:ind w:right="-108" w:left="-120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№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  <w:p>
            <w:pPr>
              <w:pStyle w:val="1039"/>
              <w:pBdr/>
              <w:spacing/>
              <w:ind w:right="-108" w:left="-120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п/п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auto" w:fill="auto"/>
            <w:tcBorders/>
            <w:tcW w:w="4641" w:type="dxa"/>
            <w:vMerge w:val="restart"/>
            <w:textDirection w:val="lrTb"/>
            <w:noWrap w:val="false"/>
          </w:tcPr>
          <w:p>
            <w:pPr>
              <w:pStyle w:val="1039"/>
              <w:pBdr/>
              <w:spacing/>
              <w:ind w:right="-108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Вид организации, вид социальной услуги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gridSpan w:val="6"/>
            <w:shd w:val="clear" w:color="auto" w:fill="auto"/>
            <w:tcBorders/>
            <w:tcW w:w="9850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Нормативные затраты</w:t>
            </w:r>
            <w:r>
              <w:rPr>
                <w:b w:val="0"/>
                <w:highlight w:val="white"/>
              </w:rPr>
              <w:t xml:space="preserve"> на одно койко-место в день, рублей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</w:tr>
      <w:tr>
        <w:trPr>
          <w:trHeight w:val="848"/>
        </w:trPr>
        <w:tc>
          <w:tcPr>
            <w:shd w:val="clear" w:color="auto" w:fill="auto"/>
            <w:tcBorders/>
            <w:tcW w:w="858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/>
              <w:ind w:right="28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4641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/>
              <w:ind w:right="28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городская местность</w:t>
            </w:r>
            <w:r>
              <w:rPr>
                <w:b w:val="0"/>
                <w:highlight w:val="white"/>
                <w:vertAlign w:val="superscript"/>
              </w:rPr>
              <w:t xml:space="preserve">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сельская местность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городская местность</w:t>
            </w:r>
            <w:r>
              <w:rPr>
                <w:b w:val="0"/>
                <w:highlight w:val="white"/>
                <w:vertAlign w:val="superscript"/>
              </w:rPr>
              <w:t xml:space="preserve">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сельская местность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городская местность</w:t>
            </w:r>
            <w:r>
              <w:rPr>
                <w:b w:val="0"/>
                <w:highlight w:val="white"/>
                <w:vertAlign w:val="superscript"/>
              </w:rPr>
              <w:t xml:space="preserve">1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Style w:val="1039"/>
              <w:pBdr/>
              <w:spacing/>
              <w:ind w:right="33"/>
              <w:jc w:val="center"/>
              <w:rPr>
                <w:b w:val="0"/>
                <w:bCs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сельская местность</w:t>
            </w:r>
            <w:r>
              <w:rPr>
                <w:b w:val="0"/>
                <w:bCs w:val="0"/>
                <w:highlight w:val="white"/>
              </w:rPr>
            </w:r>
            <w:r>
              <w:rPr>
                <w:b w:val="0"/>
                <w:bCs w:val="0"/>
                <w:highlight w:val="white"/>
              </w:rPr>
            </w:r>
          </w:p>
        </w:tc>
      </w:tr>
      <w:tr>
        <w:trPr>
          <w:trHeight w:val="559"/>
        </w:trPr>
        <w:tc>
          <w:tcPr>
            <w:shd w:val="clear" w:color="auto" w:fill="auto"/>
            <w:tcBorders/>
            <w:tcW w:w="858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/>
              <w:ind w:right="28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auto" w:fill="auto"/>
            <w:tcBorders/>
            <w:tcW w:w="4641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/>
              <w:ind w:right="282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gridSpan w:val="2"/>
            <w:shd w:val="clear" w:color="auto" w:fill="auto"/>
            <w:tcBorders/>
            <w:tcW w:w="34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white"/>
                <w:lang w:val="ru-RU"/>
              </w:rPr>
              <w:t xml:space="preserve">6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31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31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1039"/>
        <w:pBdr/>
        <w:spacing/>
        <w:ind w:right="282" w:firstLine="709"/>
        <w:jc w:val="both"/>
        <w:rPr>
          <w:b w:val="0"/>
          <w:bCs w:val="0"/>
          <w:sz w:val="2"/>
          <w:szCs w:val="2"/>
          <w:highlight w:val="white"/>
        </w:rPr>
      </w:pPr>
      <w:r>
        <w:rPr>
          <w:b w:val="0"/>
          <w:bCs w:val="0"/>
          <w:sz w:val="2"/>
          <w:szCs w:val="2"/>
          <w:highlight w:val="white"/>
        </w:rPr>
      </w:r>
      <w:r>
        <w:rPr>
          <w:b w:val="0"/>
          <w:bCs w:val="0"/>
          <w:sz w:val="2"/>
          <w:szCs w:val="2"/>
          <w:highlight w:val="white"/>
        </w:rPr>
      </w:r>
      <w:r>
        <w:rPr>
          <w:b w:val="0"/>
          <w:bCs w:val="0"/>
          <w:sz w:val="2"/>
          <w:szCs w:val="2"/>
          <w:highlight w:val="white"/>
        </w:rPr>
      </w:r>
    </w:p>
    <w:tbl>
      <w:tblPr>
        <w:tblInd w:w="-4" w:type="dxa"/>
        <w:tblW w:w="15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4635"/>
        <w:gridCol w:w="1738"/>
        <w:gridCol w:w="1739"/>
        <w:gridCol w:w="1593"/>
        <w:gridCol w:w="1593"/>
        <w:gridCol w:w="1594"/>
        <w:gridCol w:w="1593"/>
      </w:tblGrid>
      <w:tr>
        <w:trPr>
          <w:trHeight w:val="668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Дома-интернаты (пансионаты) для престарелых и инвалидов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1423,95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1432,20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  <w:t xml:space="preserve">1542,52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1550,72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1672,14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1680,31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13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1006,07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1006,07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1085,33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1085,33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1171,81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1171,81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293,38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299,32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321,01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326,95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351,35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357,29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52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15,34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15,34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16,88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16,88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44,87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45,69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48,57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49,35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52,62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53,37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16,66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17,26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18,33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20,17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20,76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5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15,34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15,34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16,88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16,88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4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32,29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33,18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35,52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36,41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39,07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39,96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59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Дома-интернаты, предназначенные для граждан, имеющих психические расстройства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1275,58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1284,02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1379,</w:t>
            </w:r>
            <w:r>
              <w:rPr>
                <w:sz w:val="28"/>
                <w:szCs w:val="28"/>
                <w:highlight w:val="white"/>
              </w:rPr>
              <w:t xml:space="preserve">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1388,</w:t>
            </w:r>
            <w:r>
              <w:rPr>
                <w:sz w:val="28"/>
                <w:szCs w:val="28"/>
                <w:highlight w:val="white"/>
              </w:rPr>
              <w:t xml:space="preserve">49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1493,</w:t>
            </w:r>
            <w:r>
              <w:rPr>
                <w:sz w:val="28"/>
                <w:szCs w:val="28"/>
                <w:highlight w:val="white"/>
              </w:rPr>
              <w:t xml:space="preserve">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1502,6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70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919,78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919,78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991,44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991,44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1069,54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1069,54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03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248,53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253,17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270,97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275,61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295,58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300,22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94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10,58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10,58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11,34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11,60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12,48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12,73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70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58,41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61,15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63,79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66,64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69,70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72,68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6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16,37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16,88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18,53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19,80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20,32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38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3,62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3,62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3,98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3,98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4,38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4,38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4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12,19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12,74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13,41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13,98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14,75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15,35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4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срочные социальные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6,10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6,10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6,71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6,71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7,38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7,38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70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социальной адаптации для лиц без определенного места жительства и занятий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2052,16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2065,39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2235,39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2248,62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2436,24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2449,47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37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1318,75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1318,75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1431,45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1431,45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1554,79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1554,79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58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454,48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462,67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497,92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506,11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545,63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553,82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34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61,08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62,34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67,18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68,44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73,90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75,16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53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122,72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125,24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134,20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136,72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146,82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149,34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16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47,65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48,91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52,41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53,67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57,65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58,91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91"/>
        </w:trPr>
        <w:tc>
          <w:tcPr>
            <w:shd w:val="clear" w:color="auto" w:fill="auto"/>
            <w:tcBorders/>
            <w:tcW w:w="86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635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3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47,48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73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47,48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  <w14:ligatures w14:val="none"/>
              </w:rPr>
              <w:t xml:space="preserve">52,23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52,23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57,45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59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57,45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997"/>
        </w:trPr>
        <w:tc>
          <w:tcPr>
            <w:gridSpan w:val="8"/>
            <w:shd w:val="clear" w:color="auto" w:fill="auto"/>
            <w:tcBorders/>
            <w:tcW w:w="15353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highlight w:val="white"/>
                <w:vertAlign w:val="superscript"/>
              </w:rPr>
            </w:pPr>
            <w:r>
              <w:rPr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  <w:r>
              <w:rPr>
                <w:highlight w:val="white"/>
                <w:vertAlign w:val="superscript"/>
              </w:rPr>
            </w:r>
            <w:r>
              <w:rPr>
                <w:highlight w:val="white"/>
                <w:vertAlign w:val="superscript"/>
              </w:rPr>
            </w:r>
          </w:p>
        </w:tc>
      </w:tr>
    </w:tbl>
    <w:p>
      <w:pPr>
        <w:pBdr/>
        <w:spacing/>
        <w:ind w:right="1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11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II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ормативные затраты на общехозяйственные нужды</w:t>
      </w:r>
      <w:r>
        <w:rPr>
          <w:sz w:val="28"/>
          <w:szCs w:val="28"/>
          <w:highlight w:val="white"/>
        </w:rPr>
        <w:t xml:space="preserve">, связанные с</w:t>
      </w:r>
      <w:r>
        <w:rPr>
          <w:sz w:val="28"/>
          <w:szCs w:val="28"/>
          <w:highlight w:val="white"/>
        </w:rPr>
        <w:t xml:space="preserve"> оказание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государственной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line="230" w:lineRule="auto"/>
        <w:ind w:right="282"/>
        <w:jc w:val="center"/>
        <w:outlineLvl w:val="1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-72" w:type="dxa"/>
        <w:tblW w:w="15387" w:type="dxa"/>
        <w:tblCellMar>
          <w:left w:w="70" w:type="dxa"/>
          <w:right w:w="70" w:type="dxa"/>
        </w:tblCellMar>
        <w:tblBorders/>
        <w:tblLayout w:type="fixed"/>
        <w:tblLook w:val="0000" w:firstRow="0" w:lastRow="0" w:firstColumn="0" w:lastColumn="0" w:noHBand="0" w:noVBand="0"/>
      </w:tblPr>
      <w:tblGrid>
        <w:gridCol w:w="915"/>
        <w:gridCol w:w="4961"/>
        <w:gridCol w:w="2132"/>
        <w:gridCol w:w="2546"/>
        <w:gridCol w:w="2847"/>
        <w:gridCol w:w="1986"/>
      </w:tblGrid>
      <w:tr>
        <w:trPr>
          <w:trHeight w:val="337"/>
        </w:trPr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915" w:type="dxa"/>
            <w:vMerge w:val="restart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Вид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132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W w:w="2546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Нормативные затраты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на одно койко-место в день,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833" w:type="dxa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1033"/>
        </w:trPr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132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546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28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 обслуживающего персонала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198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1046"/>
        <w:pBdr/>
        <w:tabs>
          <w:tab w:val="left" w:leader="none" w:pos="284"/>
        </w:tabs>
        <w:spacing w:line="230" w:lineRule="auto"/>
        <w:ind w:right="282" w:firstLine="360" w:left="0"/>
        <w:jc w:val="both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Ind w:w="-72" w:type="dxa"/>
        <w:tblW w:w="15376" w:type="dxa"/>
        <w:tblCellMar>
          <w:left w:w="70" w:type="dxa"/>
          <w:right w:w="7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15"/>
        <w:gridCol w:w="4961"/>
        <w:gridCol w:w="2132"/>
        <w:gridCol w:w="2546"/>
        <w:gridCol w:w="2835"/>
        <w:gridCol w:w="1987"/>
      </w:tblGrid>
      <w:tr>
        <w:trPr>
          <w:trHeight w:val="464"/>
        </w:trPr>
        <w:tc>
          <w:tcPr>
            <w:shd w:val="clear" w:color="auto" w:fill="auto"/>
            <w:tcBorders/>
            <w:tcW w:w="915" w:type="dxa"/>
            <w:vMerge w:val="restart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Дома-интернаты (пансионаты) для престарелых и инвалидов, специальные дома-интернаты для престарелых 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287,33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171,61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115,72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419"/>
        </w:trPr>
        <w:tc>
          <w:tcPr>
            <w:shd w:val="clear" w:color="auto" w:fill="auto"/>
            <w:tcBorders/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314,43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188,65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125,78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/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341,81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207,39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134,42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9"/>
        </w:trPr>
        <w:tc>
          <w:tcPr>
            <w:shd w:val="clear" w:color="auto" w:fill="auto"/>
            <w:tcBorders/>
            <w:tcW w:w="915" w:type="dxa"/>
            <w:vMerge w:val="restart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Calibri"/>
                <w:sz w:val="28"/>
                <w:szCs w:val="28"/>
                <w:highlight w:val="white"/>
              </w:rPr>
              <w:t xml:space="preserve">Дома-интернаты, предназначенные для граждан, имеющих психические расстройства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118,12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43,62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74,50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451"/>
        </w:trPr>
        <w:tc>
          <w:tcPr>
            <w:shd w:val="clear" w:color="auto" w:fill="auto"/>
            <w:tcBorders/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128,92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47,98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80,94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0"/>
        </w:trPr>
        <w:tc>
          <w:tcPr>
            <w:shd w:val="clear" w:color="auto" w:fill="auto"/>
            <w:tcBorders/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eastAsia="Calibri"/>
                <w:sz w:val="28"/>
                <w:szCs w:val="28"/>
              </w:rPr>
            </w:pP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  <w:r>
              <w:rPr>
                <w:rFonts w:ascii="Times New Roman" w:hAnsi="Times New Roman" w:eastAsia="Calibri"/>
                <w:sz w:val="28"/>
                <w:szCs w:val="28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139,07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52,78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86,29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445"/>
        </w:trPr>
        <w:tc>
          <w:tcPr>
            <w:shd w:val="clear" w:color="auto" w:fill="auto"/>
            <w:tcBorders/>
            <w:tcW w:w="915" w:type="dxa"/>
            <w:vMerge w:val="restart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Центры социальной адаптации для лиц без определенного места жительства и занятий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345,39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225,42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119,97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5"/>
        </w:trPr>
        <w:tc>
          <w:tcPr>
            <w:shd w:val="clear" w:color="auto" w:fill="auto"/>
            <w:tcBorders/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378,52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247,96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130,56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51"/>
        </w:trPr>
        <w:tc>
          <w:tcPr>
            <w:shd w:val="clear" w:color="auto" w:fill="auto"/>
            <w:tcBorders/>
            <w:tcW w:w="915" w:type="dxa"/>
            <w:vMerge w:val="continue"/>
            <w:textDirection w:val="lrTb"/>
            <w:noWrap w:val="false"/>
          </w:tcPr>
          <w:p>
            <w:pPr>
              <w:pStyle w:val="1040"/>
              <w:pBdr/>
              <w:tabs>
                <w:tab w:val="left" w:leader="none" w:pos="356"/>
              </w:tabs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13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5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412,55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83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272,76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8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139,79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1039"/>
        <w:pBdr/>
        <w:spacing w:line="230" w:lineRule="auto"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  <w:lang w:val="en-US"/>
        </w:rPr>
      </w:r>
      <w:r>
        <w:rPr>
          <w:b w:val="0"/>
          <w:highlight w:val="white"/>
          <w:lang w:val="en-US"/>
        </w:rPr>
      </w:r>
      <w:r>
        <w:rPr>
          <w:b w:val="0"/>
          <w:highlight w:val="white"/>
          <w:lang w:val="en-US"/>
        </w:rPr>
      </w:r>
    </w:p>
    <w:p>
      <w:pPr>
        <w:pStyle w:val="1039"/>
        <w:pBdr/>
        <w:spacing w:line="230" w:lineRule="auto"/>
        <w:ind w:right="282"/>
        <w:jc w:val="center"/>
        <w:rPr>
          <w:b w:val="0"/>
          <w:highlight w:val="white"/>
        </w:rPr>
        <w:sectPr>
          <w:footnotePr/>
          <w:endnotePr/>
          <w:type w:val="nextPage"/>
          <w:pgSz w:h="11906" w:orient="landscape" w:w="16838"/>
          <w:pgMar w:top="1134" w:right="851" w:bottom="424" w:left="851" w:header="708" w:footer="708" w:gutter="0"/>
          <w:pgNumType w:start="1"/>
          <w:cols w:num="1" w:sep="0" w:space="708" w:equalWidth="1"/>
          <w:titlePg/>
        </w:sect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  <w:lang w:val="ru-RU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 w:line="230" w:lineRule="auto"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 w:line="230" w:lineRule="auto"/>
        <w:ind w:right="14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Нормативные </w:t>
      </w:r>
      <w:r>
        <w:rPr>
          <w:b w:val="0"/>
          <w:highlight w:val="white"/>
        </w:rPr>
        <w:t xml:space="preserve">затраты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</w:t>
      </w:r>
      <w:r>
        <w:rPr>
          <w:b w:val="0"/>
          <w:highlight w:val="white"/>
        </w:rPr>
        <w:t xml:space="preserve">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</w:t>
      </w:r>
      <w:r>
        <w:rPr>
          <w:rFonts w:eastAsia="Calibri"/>
          <w:b w:val="0"/>
          <w:highlight w:val="white"/>
        </w:rPr>
        <w:t xml:space="preserve">находящихся в ведении </w:t>
      </w:r>
      <w:r>
        <w:rPr>
          <w:b w:val="0"/>
          <w:highlight w:val="white"/>
        </w:rPr>
        <w:t xml:space="preserve">Республики Татарстан, на 2026 год и на плановый период 2027 и 2028 годов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 w:line="230" w:lineRule="auto"/>
        <w:ind w:right="14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numPr>
          <w:ilvl w:val="0"/>
          <w:numId w:val="18"/>
        </w:numPr>
        <w:pBdr/>
        <w:spacing w:line="230" w:lineRule="auto"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Н</w:t>
      </w:r>
      <w:r>
        <w:rPr>
          <w:b w:val="0"/>
          <w:highlight w:val="white"/>
        </w:rPr>
        <w:t xml:space="preserve">ормативные затраты, непосредственно связанные с оказанием государственной услуги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 w:line="230" w:lineRule="auto"/>
        <w:ind w:right="282"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tbl>
      <w:tblPr>
        <w:tblInd w:w="-34" w:type="dxa"/>
        <w:tblW w:w="159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val="300"/>
        </w:trPr>
        <w:tc>
          <w:tcPr>
            <w:shd w:val="clear" w:color="auto" w:fill="auto"/>
            <w:tcBorders/>
            <w:tcW w:w="880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209"/>
              </w:tabs>
              <w:spacing w:line="230" w:lineRule="auto"/>
              <w:ind w:right="41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Style w:val="1039"/>
              <w:pBdr/>
              <w:tabs>
                <w:tab w:val="left" w:leader="none" w:pos="209"/>
              </w:tabs>
              <w:spacing w:line="230" w:lineRule="auto"/>
              <w:ind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п/п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vMerge w:val="restart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Вид организации, вид социальной услуги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gridSpan w:val="12"/>
            <w:tcBorders/>
            <w:tcW w:w="1360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Нормативные затраты</w:t>
            </w:r>
            <w:r>
              <w:rPr>
                <w:b w:val="0"/>
                <w:highlight w:val="white"/>
              </w:rPr>
              <w:t xml:space="preserve"> на одно койко-место в день/ одно место в день, рублей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/>
            <w:tcW w:w="880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стационарная форма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полустационарная форма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стационарная форма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полустационарная форма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стационарная форма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  <w:tc>
          <w:tcPr>
            <w:gridSpan w:val="2"/>
            <w:tcBorders>
              <w:bottom w:val="single" w:color="auto" w:sz="4" w:space="0"/>
            </w:tcBorders>
            <w:tcW w:w="2268" w:type="dxa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center"/>
              <w:rPr>
                <w:b w:val="0"/>
                <w:highlight w:val="white"/>
              </w:rPr>
            </w:pPr>
            <w:r>
              <w:rPr>
                <w:b w:val="0"/>
                <w:highlight w:val="white"/>
              </w:rPr>
              <w:t xml:space="preserve">полустационарная форма</w:t>
            </w:r>
            <w:r>
              <w:rPr>
                <w:b w:val="0"/>
                <w:highlight w:val="white"/>
              </w:rPr>
            </w:r>
            <w:r>
              <w:rPr>
                <w:b w:val="0"/>
                <w:highlight w:val="white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/>
            <w:tcW w:w="880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Borders/>
            <w:tcW w:w="1417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ород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</w:t>
            </w:r>
            <w:r>
              <w:rPr>
                <w:sz w:val="28"/>
                <w:szCs w:val="28"/>
                <w:highlight w:val="white"/>
              </w:rPr>
              <w:t xml:space="preserve">ель</w:t>
            </w: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884"/>
              </w:tabs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сель-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сель-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884"/>
              </w:tabs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сель-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сель-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tabs>
                <w:tab w:val="left" w:leader="none" w:pos="884"/>
              </w:tabs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сель-</w:t>
            </w:r>
            <w:r>
              <w:rPr>
                <w:sz w:val="28"/>
                <w:szCs w:val="28"/>
                <w:highlight w:val="white"/>
              </w:rPr>
              <w:t xml:space="preserve">ская</w:t>
            </w:r>
            <w:r>
              <w:rPr>
                <w:sz w:val="28"/>
                <w:szCs w:val="28"/>
                <w:highlight w:val="white"/>
              </w:rPr>
              <w:t xml:space="preserve"> мест-</w:t>
            </w:r>
            <w:r>
              <w:rPr>
                <w:sz w:val="28"/>
                <w:szCs w:val="28"/>
                <w:highlight w:val="white"/>
              </w:rPr>
              <w:t xml:space="preserve">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51"/>
        </w:trPr>
        <w:tc>
          <w:tcPr>
            <w:shd w:val="clear" w:color="auto" w:fill="auto"/>
            <w:tcBorders>
              <w:bottom w:val="none" w:color="000000" w:sz="4" w:space="0"/>
            </w:tcBorders>
            <w:tcW w:w="880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1417" w:type="dxa"/>
            <w:vMerge w:val="continue"/>
            <w:textDirection w:val="lrTb"/>
            <w:noWrap w:val="false"/>
          </w:tcPr>
          <w:p>
            <w:pPr>
              <w:pStyle w:val="1039"/>
              <w:pBdr/>
              <w:spacing w:line="230" w:lineRule="auto"/>
              <w:ind w:right="282"/>
              <w:jc w:val="both"/>
              <w:rPr>
                <w:b w:val="0"/>
              </w:rPr>
            </w:pPr>
            <w:r>
              <w:rPr>
                <w:b w:val="0"/>
              </w:rPr>
            </w:r>
            <w:r>
              <w:rPr>
                <w:b w:val="0"/>
              </w:rPr>
            </w:r>
            <w:r>
              <w:rPr>
                <w:b w:val="0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Bdr/>
              <w:tabs>
                <w:tab w:val="left" w:leader="none" w:pos="884"/>
              </w:tabs>
              <w:spacing w:line="230" w:lineRule="auto"/>
              <w:ind w:right="3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white"/>
                <w:lang w:val="ru-RU"/>
              </w:rPr>
              <w:t xml:space="preserve">6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shd w:val="clear" w:color="auto" w:fill="auto"/>
            <w:tcBorders>
              <w:bottom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4"/>
            <w:tcBorders>
              <w:bottom w:val="none" w:color="000000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202</w:t>
            </w: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1039"/>
        <w:pBdr/>
        <w:spacing w:line="230" w:lineRule="auto"/>
        <w:ind w:right="282"/>
        <w:jc w:val="both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Ind w:w="-34" w:type="dxa"/>
        <w:tblW w:w="170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41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gridAfter w:val="1"/>
          <w:trHeight w:val="386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Реабилитационные центры для детей и подростков с ограниченными возможностями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645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детей и подростков с ограниченными возможностями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3803,10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3869,36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2665,32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2825,12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4145,67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4211,93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2899,11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3070,46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4521,19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4587,44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3155,05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3339,05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893,02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893,02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630,40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630,40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958,78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958,78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678,27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678,27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1030,29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1030,29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730,39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730,39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1241,76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1269,04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1042,40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1108,94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1353,24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1380,53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1129,06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1200,29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1475,38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1502,66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1223,69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1300,06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66,96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66,96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78,12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78,12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73,65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73,65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85,94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85,94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81,01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81,01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94,53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94,53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1304,50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1335,57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643,78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712,26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1433,45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1464,52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708,16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781,74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1575,29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1606,37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778,98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858,16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94,48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97,12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102,69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112,30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103,93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106,56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112,95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123,24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114,33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116,96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124,25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135,27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61,55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62,87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67,62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72,80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67,71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69,03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74,38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79,93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74,48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75,79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81,82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87,78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140,83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144,78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100,31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110,30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154,91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158,86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110,35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121,05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170,41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174,36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121,39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132,86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сопровождающих лиц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965,43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978,44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1052,31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1065,33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1147,52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1160,54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323,87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323,87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346,60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346,60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371,23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371,23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192,58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192,58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211,84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211,84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233,03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233,03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448,98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461,99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493,87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506,89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543,26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556,28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1.3.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для получателей социальных услуг в отделении ранней помощи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3269,47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3577,28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3915,16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1.3.1.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348,01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381,81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418,98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1.3.2.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1360,66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1479,14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1608,78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1.3.3.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95,28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104,81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115,28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1.3.4.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1129,32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1241,70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1365,31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1.3.5.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336,20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369,82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406,81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для законных представителей получателя социальных услуг в отделении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ранней помощи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1419,45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1560,6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1715,86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1.4.1.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45,39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49,13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53,25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1.4.2.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86,29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104,41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1.4.3.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88,40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97,24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106,96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1.4.4.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908,80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999,68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1099,65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1.4.5.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44,20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48,62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53,48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1.4.6.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246,37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271,01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298,11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1.5.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для получателей социальных услуг краткосрочного предоставления услуг в отделении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ранней помощи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1395,2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1533,92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1686,51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1.5.1.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321,56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352,92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387,41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1.5.2.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236,44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260,08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286,09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1.5.3.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88,40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97,24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106,96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1.5.4.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748,80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823,68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906,05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1.6.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для получателей социальных услуг в отделении дневного пребывания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1504,86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1639,63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1787,34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1.6.1.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522,12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559,44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599,94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1.6.2.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238,75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262,36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288,34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1.6.3.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84,19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92,61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101,87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1.6.4.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420,48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461,97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507,61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1.6.5.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239,32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263,25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289,58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668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реабилитации инвалидов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259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инвалидов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1970,41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1996,67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1723,45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1750,58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2133,18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2159,46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1871,28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1898,41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2310,98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2337,25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2032,97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2060,11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714,92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714,92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294,78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294,78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765,49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765,49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317,14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317,14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820,39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820,39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341,48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341,48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972,84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993,20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1084,71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1104,76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1057,56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1077,92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1175,79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1195,84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1150,26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1170,62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1275,27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1295,33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51,49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51,49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64,47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64,47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56,64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56,64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70,91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70,91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62,29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62,29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78,01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78,01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45,18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46,16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46,62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47,80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48,91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49,90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51,28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52,46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53,01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53,99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56,42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57,60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57,86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59,83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72,44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74,80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63,64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65,61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79,68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82,04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70,00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71,97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87,66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90,02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25,74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25,74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32,23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32,23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28,32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28,32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35,46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35,46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31,15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31,15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39,00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39,00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102,38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105,33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128,20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131,74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112,62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115,58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141,02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144,56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123,88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126,84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155,13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158,67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сопровождающих лиц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800,13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817,38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870,48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887,73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947,50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964,74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195,45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195,45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205,33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205,33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215,83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215,83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39,10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39,10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43,01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43,01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47,31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47,31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565,58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582,83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 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622,14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639,39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684,36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701,60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для получателей социальных услуг в рамках курса учебного (тренировочного) сопровождаемого проживания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1950,42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2123,58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2313,31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595,48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634,11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675,88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191,14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210,07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230,89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99,72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109,70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120,67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752,25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826,68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908,56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209,08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229,99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252,98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102,75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113,03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124,33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53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Социально-реабилитационные отделения комплексных центров социального обслуживания населения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1822,19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1848,34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1317,29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1339,51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1979,78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2005,92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1437,89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1460,10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2152,26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2178,42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1570,09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1592,32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647,56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647,56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269,76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269,76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691,38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691,38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289,59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289,59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738,86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738,86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311,17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311,17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842,34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861,95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717,53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733,22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923,68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943,29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785,28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800,97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1013,03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1032,65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859,63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875,32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547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58,33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58,33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58,77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58,77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64,16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64,16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64,65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64,65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70,57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70,57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71,10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71,10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58,54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59,85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54,20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55,50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63,60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64,91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59,62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60,92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69,16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70,47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65,58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66,89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85,08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87,69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85,71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88,32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93,58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96,19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94,29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96,90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102,93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105,55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103,71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106,33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3.6.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79,75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81,06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80,35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81,66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87,73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89,03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88,39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89,69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96,50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97,80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97,23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98,53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/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50,59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51,90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50,97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52,28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55,65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56,96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56,07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57,38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61,21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62,52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61,67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62,98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социальной реабилитации слепых и слабовидящих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566,37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621,83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682,81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56,78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61,88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67,48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11,87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12,67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13,57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11,99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13,19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14,51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350,92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385,78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424,11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13,21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14,54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15,99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10,70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11,77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12,94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110,90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122,00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134,21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Отделения дневного пребывания комплексных центров социального обслуживания населения, центров реабилитации инвалидов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1047,09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1073,90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1144,02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1170,81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1250,40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1277,20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140,78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140,78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147,34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147,34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154,32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154,32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147,93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152,22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162,46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166,75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178,44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182,73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75,86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75,86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83,45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83,45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91,79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91,79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434,60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449,61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478,06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493,06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525,87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540,88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25,29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25,29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27,81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27,81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30,60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30,60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222,63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230,14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244,90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252,40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269,38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276,88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6.</w:t>
            </w:r>
            <w:r>
              <w:rPr>
                <w:sz w:val="28"/>
                <w:szCs w:val="28"/>
                <w:highlight w:val="white"/>
                <w:lang w:val="en-US"/>
              </w:rPr>
            </w:r>
            <w:r>
              <w:rPr>
                <w:sz w:val="28"/>
                <w:szCs w:val="28"/>
                <w:highlight w:val="white"/>
                <w:lang w:val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Style w:val="1053"/>
              <w:pBdr/>
              <w:spacing w:after="0" w:afterAutospacing="0" w:before="0" w:beforeAutospacing="0" w:line="288" w:lineRule="atLeast"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Отделения социальной реабилитации больных наркоманией комплексного центра социального обслуживания населения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893,17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981,69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1079,03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44,99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48,69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52,74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91,65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100,81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110,89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425,67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468,25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515,07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социально-трудовые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239,21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263,13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289,44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91,65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100,81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110,89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88" w:lineRule="atLeast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Отделение социальной реабилитации для лиц, заключивших контракт (имеющих иные правоотношения) с организациями, содействующими выполнению задач, возложенных на Вооруженные Силы Российск</w:t>
            </w:r>
            <w:r>
              <w:rPr>
                <w:sz w:val="28"/>
                <w:szCs w:val="28"/>
                <w:highlight w:val="white"/>
              </w:rPr>
              <w:t xml:space="preserve">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</w:t>
            </w:r>
            <w:r>
              <w:rPr>
                <w:sz w:val="28"/>
                <w:szCs w:val="28"/>
                <w:highlight w:val="white"/>
              </w:rPr>
              <w:t xml:space="preserve">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 (далее - лица, выполнявшие задачи в ходе специальной военной операции), в центрах реабилитации инвалидов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2468,25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2680,79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2913,38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социально-бытовые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1163,04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1258,41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1362,61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социально-медицинские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943,85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1025,67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1115,18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социально-психологические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49,53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54,49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59,93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социально-педагогические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43,77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47,35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51,30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социально-правовые услуги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24,76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27,24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29,97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3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80" w:type="dxa"/>
            <w:textDirection w:val="lrTb"/>
            <w:noWrap w:val="false"/>
          </w:tcPr>
          <w:p>
            <w:pPr>
              <w:pBdr/>
              <w:tabs>
                <w:tab w:val="left" w:leader="none" w:pos="318"/>
              </w:tabs>
              <w:spacing w:line="230" w:lineRule="auto"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услуги в целях повышения коммуникативного потенциала получателей социальных услуг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243,30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267,63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294,39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gridAfter w:val="1"/>
          <w:trHeight w:val="825"/>
        </w:trPr>
        <w:tc>
          <w:tcPr>
            <w:gridSpan w:val="14"/>
            <w:shd w:val="clear" w:color="auto" w:fill="auto"/>
            <w:tcBorders/>
            <w:tcW w:w="15905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bCs/>
                <w:highlight w:val="white"/>
                <w:vertAlign w:val="superscript"/>
              </w:rPr>
            </w:pPr>
            <w:r>
              <w:rPr>
                <w:bCs/>
                <w:highlight w:val="white"/>
                <w:vertAlign w:val="superscript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  <w:r>
              <w:rPr>
                <w:bCs/>
                <w:highlight w:val="white"/>
                <w:vertAlign w:val="superscript"/>
              </w:rPr>
            </w:r>
            <w:r>
              <w:rPr>
                <w:bCs/>
                <w:highlight w:val="white"/>
                <w:vertAlign w:val="superscript"/>
              </w:rPr>
            </w:r>
          </w:p>
        </w:tc>
      </w:tr>
    </w:tbl>
    <w:p>
      <w:pPr>
        <w:pBdr/>
        <w:spacing/>
        <w:ind w:right="282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en-US"/>
        </w:rPr>
        <w:t xml:space="preserve">II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Н</w:t>
      </w:r>
      <w:r>
        <w:rPr>
          <w:sz w:val="28"/>
          <w:szCs w:val="28"/>
          <w:highlight w:val="white"/>
        </w:rPr>
        <w:t xml:space="preserve">ормативные затраты на общехозяйственные нужды</w:t>
      </w:r>
      <w:r>
        <w:rPr>
          <w:sz w:val="28"/>
          <w:szCs w:val="28"/>
          <w:highlight w:val="white"/>
        </w:rPr>
        <w:t xml:space="preserve">, связанные с</w:t>
      </w:r>
      <w:r>
        <w:rPr>
          <w:sz w:val="28"/>
          <w:szCs w:val="28"/>
          <w:highlight w:val="white"/>
        </w:rPr>
        <w:t xml:space="preserve"> оказание</w:t>
      </w:r>
      <w:r>
        <w:rPr>
          <w:sz w:val="28"/>
          <w:szCs w:val="28"/>
          <w:highlight w:val="white"/>
        </w:rPr>
        <w:t xml:space="preserve">м</w:t>
      </w:r>
      <w:r>
        <w:rPr>
          <w:sz w:val="28"/>
          <w:szCs w:val="28"/>
          <w:highlight w:val="white"/>
        </w:rPr>
        <w:t xml:space="preserve"> государственной услуги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spacing/>
        <w:ind w:right="282" w:left="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-72" w:type="dxa"/>
        <w:tblW w:w="15366" w:type="dxa"/>
        <w:tblCellMar>
          <w:left w:w="70" w:type="dxa"/>
          <w:right w:w="7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4295"/>
        <w:gridCol w:w="2756"/>
        <w:gridCol w:w="2756"/>
        <w:gridCol w:w="2951"/>
        <w:gridCol w:w="1977"/>
      </w:tblGrid>
      <w:tr>
        <w:trPr>
          <w:trHeight w:val="374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№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п/п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7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Вид организации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49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Год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49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Нормативные затраты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на одно койко-место в день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 xml:space="preserve">/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 одно место в день, рублей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/>
            <w:tcW w:w="4928" w:type="dxa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 том числе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975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2756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1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фонд оплаты труда обслуживающего персонала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</w:tr>
      <w:tr>
        <w:trPr>
          <w:trHeight w:val="556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1.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Реабилитационные центры для детей и подростков с ограниченными возможностями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270,33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197,13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73,20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50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296,05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216,72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79,33</w:t>
            </w:r>
            <w:r>
              <w:rPr>
                <w:sz w:val="28"/>
                <w:szCs w:val="28"/>
                <w:highlight w:val="white"/>
                <w14:ligatures w14:val="non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27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323,13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238,26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84,87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94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2.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Центры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251,68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184,61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67,07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275,95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202,87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73,08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301,45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222,97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78,48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19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Социально-реабилитационные отделения комплексных центров социального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169,42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101,81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7,61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184,97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111,85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73,12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200,78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122,91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77,87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26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4.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Центры социальной реабилитации слепых и слабовидящих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80,29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30,02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50,27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87,76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33,02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54,74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94,79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36,33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58,46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650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5.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Отделения дневного пребывания комплексных центров социального обслуживания населения, центров реабилитации инвалидов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251,68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184,61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67,07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275,95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202,87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73,08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301,45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222,97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78,48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6.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295" w:type="dxa"/>
            <w:vMerge w:val="restart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Отделения социальной реабилитации больных наркоманией комплексного центра социального обслуживания населения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160,59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20,53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  <w:t xml:space="preserve">140,06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167,03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22,59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144,44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568"/>
        </w:trPr>
        <w:tc>
          <w:tcPr>
            <w:shd w:val="clear" w:color="auto" w:fill="auto"/>
            <w:tcBorders/>
            <w:tcW w:w="631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-7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295" w:type="dxa"/>
            <w:vMerge w:val="continue"/>
            <w:textDirection w:val="lrTb"/>
            <w:noWrap w:val="false"/>
          </w:tcPr>
          <w:p>
            <w:pPr>
              <w:pStyle w:val="1040"/>
              <w:pBdr/>
              <w:spacing w:line="230" w:lineRule="auto"/>
              <w:ind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7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172,89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295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24,84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97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14:ligatures w14:val="non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148,05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  <w14:ligatures w14:val="none"/>
              </w:rPr>
            </w:r>
          </w:p>
        </w:tc>
      </w:tr>
    </w:tbl>
    <w:p>
      <w:pPr>
        <w:pStyle w:val="1039"/>
        <w:pBdr/>
        <w:spacing/>
        <w:ind w:right="282" w:firstLine="568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 w:firstLine="568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 w:firstLine="568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 w:firstLine="568"/>
        <w:jc w:val="both"/>
        <w:rPr>
          <w:b w:val="0"/>
          <w:highlight w:val="white"/>
        </w:rPr>
        <w:sectPr>
          <w:footnotePr/>
          <w:endnotePr/>
          <w:type w:val="nextPage"/>
          <w:pgSz w:h="11906" w:orient="landscape" w:w="16838"/>
          <w:pgMar w:top="1134" w:right="851" w:bottom="424" w:left="851" w:header="708" w:footer="708" w:gutter="0"/>
          <w:pgNumType w:start="1"/>
          <w:cols w:num="1" w:sep="0" w:space="708" w:equalWidth="1"/>
          <w:titlePg/>
        </w:sect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  <w:lang w:val="ru-RU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Н</w:t>
      </w:r>
      <w:r>
        <w:rPr>
          <w:b w:val="0"/>
          <w:highlight w:val="white"/>
        </w:rPr>
        <w:t xml:space="preserve">ормативные затраты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на оказание </w:t>
      </w:r>
      <w:r>
        <w:rPr>
          <w:b w:val="0"/>
          <w:highlight w:val="white"/>
        </w:rPr>
        <w:t xml:space="preserve">государственных</w:t>
      </w:r>
      <w:r>
        <w:rPr>
          <w:b w:val="0"/>
          <w:highlight w:val="white"/>
        </w:rPr>
        <w:t xml:space="preserve"> услуг</w:t>
      </w:r>
      <w:r>
        <w:rPr>
          <w:b w:val="0"/>
          <w:highlight w:val="white"/>
        </w:rPr>
        <w:t xml:space="preserve"> </w:t>
      </w:r>
      <w:r>
        <w:rPr>
          <w:b w:val="0"/>
          <w:highlight w:val="white"/>
        </w:rPr>
        <w:t xml:space="preserve">центр</w:t>
      </w:r>
      <w:r>
        <w:rPr>
          <w:b w:val="0"/>
          <w:highlight w:val="white"/>
        </w:rPr>
        <w:t xml:space="preserve">ами</w:t>
      </w:r>
      <w:r>
        <w:rPr>
          <w:b w:val="0"/>
          <w:highlight w:val="white"/>
        </w:rPr>
        <w:t xml:space="preserve"> социальной помощи семье и детям, отделени</w:t>
      </w:r>
      <w:r>
        <w:rPr>
          <w:b w:val="0"/>
          <w:highlight w:val="white"/>
        </w:rPr>
        <w:t xml:space="preserve">ями</w:t>
      </w:r>
      <w:r>
        <w:rPr>
          <w:b w:val="0"/>
          <w:highlight w:val="white"/>
        </w:rPr>
        <w:t xml:space="preserve"> </w:t>
      </w:r>
      <w:r>
        <w:rPr>
          <w:b w:val="0"/>
          <w:highlight w:val="white"/>
        </w:rPr>
        <w:t xml:space="preserve">социальной </w:t>
      </w:r>
      <w:r>
        <w:rPr>
          <w:b w:val="0"/>
          <w:highlight w:val="white"/>
        </w:rPr>
        <w:t xml:space="preserve">помощи семье и детям, отделени</w:t>
      </w:r>
      <w:r>
        <w:rPr>
          <w:b w:val="0"/>
          <w:highlight w:val="white"/>
        </w:rPr>
        <w:t xml:space="preserve">ями</w:t>
      </w:r>
      <w:r>
        <w:rPr>
          <w:b w:val="0"/>
          <w:highlight w:val="white"/>
        </w:rPr>
        <w:t xml:space="preserve"> социального обслуживания на дому комплексных центр</w:t>
      </w:r>
      <w:r>
        <w:rPr>
          <w:b w:val="0"/>
          <w:highlight w:val="white"/>
        </w:rPr>
        <w:t xml:space="preserve">ов</w:t>
      </w:r>
      <w:r>
        <w:rPr>
          <w:b w:val="0"/>
          <w:highlight w:val="white"/>
        </w:rPr>
        <w:t xml:space="preserve"> социального обслуживания населения</w:t>
      </w:r>
      <w:r>
        <w:rPr>
          <w:highlight w:val="white"/>
        </w:rPr>
        <w:t xml:space="preserve"> </w:t>
      </w:r>
      <w:r>
        <w:rPr>
          <w:b w:val="0"/>
          <w:highlight w:val="white"/>
        </w:rPr>
        <w:t xml:space="preserve">на 2026 год и на плановый период 2027</w:t>
      </w:r>
      <w:r>
        <w:rPr>
          <w:b w:val="0"/>
          <w:highlight w:val="white"/>
        </w:rPr>
        <w:t xml:space="preserve"> и </w:t>
      </w:r>
      <w:r>
        <w:rPr>
          <w:b w:val="0"/>
          <w:highlight w:val="white"/>
        </w:rPr>
        <w:t xml:space="preserve">2028 годов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tbl>
      <w:tblPr>
        <w:tblW w:w="14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pPr w:horzAnchor="margin" w:tblpXSpec="center" w:vertAnchor="text" w:tblpY="634" w:leftFromText="180" w:topFromText="0" w:rightFromText="180" w:bottomFromText="0"/>
        <w:tblLook w:val="0000" w:firstRow="0" w:lastRow="0" w:firstColumn="0" w:lastColumn="0" w:noHBand="0" w:noVBand="0"/>
      </w:tblPr>
      <w:tblGrid>
        <w:gridCol w:w="988"/>
        <w:gridCol w:w="8079"/>
        <w:gridCol w:w="1701"/>
        <w:gridCol w:w="1985"/>
        <w:gridCol w:w="1883"/>
      </w:tblGrid>
      <w:tr>
        <w:trPr>
          <w:trHeight w:val="638"/>
        </w:trPr>
        <w:tc>
          <w:tcPr>
            <w:shd w:val="clear" w:color="auto" w:fill="auto"/>
            <w:tcBorders/>
            <w:tcW w:w="988" w:type="dxa"/>
            <w:vMerge w:val="restart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№ 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п/п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vMerge w:val="restart"/>
            <w:textDirection w:val="lrTb"/>
            <w:noWrap w:val="false"/>
          </w:tcPr>
          <w:p>
            <w:pPr>
              <w:pBdr/>
              <w:spacing/>
              <w:ind w:right="282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Вид организации, форма предоставления социального обслуживания 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Год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Borders/>
            <w:tcW w:w="3868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Нормативные затраты на одного жителя, 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рублей в год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</w:tr>
      <w:tr>
        <w:trPr>
          <w:trHeight w:val="322"/>
        </w:trPr>
        <w:tc>
          <w:tcPr>
            <w:shd w:val="clear" w:color="auto" w:fill="auto"/>
            <w:tcBorders/>
            <w:tcW w:w="988" w:type="dxa"/>
            <w:vMerge w:val="continue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8079" w:type="dxa"/>
            <w:vMerge w:val="continue"/>
            <w:textDirection w:val="lrTb"/>
            <w:noWrap w:val="false"/>
          </w:tcPr>
          <w:p>
            <w:pPr>
              <w:pBdr/>
              <w:spacing/>
              <w:ind w:right="282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городская местность</w:t>
            </w:r>
            <w:r>
              <w:rPr>
                <w:bCs/>
                <w:sz w:val="28"/>
                <w:szCs w:val="28"/>
                <w:highlight w:val="white"/>
                <w:vertAlign w:val="superscript"/>
                <w:lang w:val="en-US"/>
              </w:rPr>
              <w:t xml:space="preserve">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сельская местность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</w:tr>
      <w:tr>
        <w:trPr>
          <w:trHeight w:val="935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</w:t>
            </w:r>
            <w:r>
              <w:rPr>
                <w:bCs/>
                <w:sz w:val="28"/>
                <w:szCs w:val="28"/>
                <w:highlight w:val="white"/>
                <w:lang w:val="en-US"/>
              </w:rPr>
              <w:t xml:space="preserve">.</w:t>
            </w:r>
            <w:r>
              <w:rPr>
                <w:bCs/>
                <w:sz w:val="28"/>
                <w:szCs w:val="28"/>
                <w:highlight w:val="white"/>
                <w:lang w:val="en-US"/>
              </w:rPr>
            </w:r>
            <w:r>
              <w:rPr>
                <w:bCs/>
                <w:sz w:val="28"/>
                <w:szCs w:val="28"/>
                <w:highlight w:val="white"/>
                <w:lang w:val="en-US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социальной помощи семье и детям, отделения социальной помощи семье и детям комплексных центров социального обслуживания населения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/>
            <w:tcW w:w="5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1.1.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предоставление социального обслуживания в полустационарной форме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2026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208,14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208,49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1.1.1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203,85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204,20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1.1.2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4,29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4,29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1.2.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предоставление социального обслуживания в полустационарной форме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228,60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229,26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1.2.1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224,21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224,87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1.2.2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4,39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4,39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1.3.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предоставление социального обслуживания в полустационарной форме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251,10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251,47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1.3.1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246,62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246,99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1.3.2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4,48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4,48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</w:t>
            </w:r>
            <w:r>
              <w:rPr>
                <w:bCs/>
                <w:sz w:val="28"/>
                <w:szCs w:val="28"/>
                <w:highlight w:val="white"/>
                <w:lang w:val="en-US"/>
              </w:rPr>
              <w:t xml:space="preserve">.</w:t>
            </w:r>
            <w:r>
              <w:rPr>
                <w:bCs/>
                <w:sz w:val="28"/>
                <w:szCs w:val="28"/>
                <w:highlight w:val="white"/>
                <w:lang w:val="en-US"/>
              </w:rPr>
            </w:r>
            <w:r>
              <w:rPr>
                <w:bCs/>
                <w:sz w:val="28"/>
                <w:szCs w:val="28"/>
                <w:highlight w:val="white"/>
                <w:lang w:val="en-US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bCs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Отделения социального обслуживания на дому комплексных центров социального обслуживания населения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/>
            <w:tcW w:w="55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 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2.1.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предоставление социального обслуживания в форме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2026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322,55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1525,26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2.1.1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311,87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1500,56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2.1.2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10,68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24,70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2.2.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предоставление социального обслуживания в форме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353,88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1671,86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2.2.1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343,02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1646,85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2.2.2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10,86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color w:val="000000"/>
                <w:sz w:val="28"/>
                <w:szCs w:val="28"/>
                <w:highlight w:val="white"/>
                <w14:ligatures w14:val="none"/>
              </w:rPr>
            </w:pPr>
            <w:r>
              <w:rPr>
                <w:color w:val="000000"/>
                <w:sz w:val="28"/>
                <w:szCs w:val="28"/>
                <w:highlight w:val="white"/>
              </w:rPr>
              <w:t xml:space="preserve">25,01</w:t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  <w:r>
              <w:rPr>
                <w:color w:val="000000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25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2.3.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предоставление социального обслуживания в форме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388,31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1833,05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2.3.1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фонд оплаты труда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377,30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1807,77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8"/>
        </w:trPr>
        <w:tc>
          <w:tcPr>
            <w:shd w:val="clear" w:color="auto" w:fill="auto"/>
            <w:tcBorders/>
            <w:tcW w:w="988" w:type="dxa"/>
            <w:textDirection w:val="lrTb"/>
            <w:noWrap w:val="false"/>
          </w:tcPr>
          <w:p>
            <w:pPr>
              <w:pBdr/>
              <w:tabs>
                <w:tab w:val="left" w:leader="none" w:pos="0"/>
              </w:tabs>
              <w:spacing/>
              <w:ind w:right="-108"/>
              <w:jc w:val="center"/>
              <w:rPr>
                <w:bCs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</w:rPr>
              <w:t xml:space="preserve">2.3.2</w:t>
            </w:r>
            <w:r>
              <w:rPr>
                <w:bCs/>
                <w:sz w:val="28"/>
                <w:szCs w:val="28"/>
                <w:highlight w:val="white"/>
              </w:rPr>
            </w:r>
            <w:r>
              <w:rPr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79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иные затраты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70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  <w:r>
              <w:rPr>
                <w:rFonts w:eastAsia="Calibri"/>
                <w:sz w:val="28"/>
                <w:szCs w:val="28"/>
              </w:rPr>
            </w:r>
          </w:p>
        </w:tc>
        <w:tc>
          <w:tcPr>
            <w:tcBorders/>
            <w:tcW w:w="198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11,01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88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25,28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8"/>
        </w:trPr>
        <w:tc>
          <w:tcPr>
            <w:gridSpan w:val="5"/>
            <w:shd w:val="clear" w:color="auto" w:fill="auto"/>
            <w:tcBorders/>
            <w:tcW w:w="1463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sz w:val="28"/>
                <w:szCs w:val="28"/>
                <w:highlight w:val="white"/>
                <w:vertAlign w:val="superscript"/>
              </w:rPr>
              <w:t xml:space="preserve">1</w:t>
            </w:r>
            <w:r>
              <w:rPr>
                <w:bCs/>
                <w:sz w:val="28"/>
                <w:szCs w:val="28"/>
                <w:highlight w:val="white"/>
              </w:rPr>
              <w:t xml:space="preserve">Для </w:t>
            </w:r>
            <w:r>
              <w:rPr>
                <w:sz w:val="28"/>
                <w:szCs w:val="28"/>
                <w:highlight w:val="white"/>
              </w:rPr>
              <w:t xml:space="preserve">организаций социального обслуживания,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находящихся в ведении </w:t>
            </w:r>
            <w:r>
              <w:rPr>
                <w:sz w:val="28"/>
                <w:szCs w:val="28"/>
                <w:highlight w:val="white"/>
              </w:rPr>
              <w:t xml:space="preserve">Республики Татарстан, осуществляющих свою деятельность  на территории </w:t>
            </w:r>
            <w:r>
              <w:rPr>
                <w:bCs/>
                <w:sz w:val="28"/>
                <w:szCs w:val="28"/>
                <w:highlight w:val="white"/>
              </w:rPr>
              <w:t xml:space="preserve">городских поселений, </w:t>
            </w:r>
            <w:r>
              <w:rPr>
                <w:bCs/>
                <w:sz w:val="28"/>
                <w:szCs w:val="28"/>
                <w:highlight w:val="white"/>
              </w:rPr>
              <w:t xml:space="preserve">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применяется поправочный коэффициент к нормативным затратам на фонд оплаты труда, в размере 1,094.</w:t>
            </w:r>
            <w:r>
              <w:rPr>
                <w:color w:val="000000"/>
                <w:sz w:val="28"/>
                <w:szCs w:val="28"/>
                <w:highlight w:val="white"/>
              </w:rPr>
            </w:r>
            <w:r>
              <w:rPr>
                <w:color w:val="000000"/>
                <w:sz w:val="28"/>
                <w:szCs w:val="28"/>
                <w:highlight w:val="white"/>
              </w:rPr>
            </w:r>
          </w:p>
        </w:tc>
      </w:tr>
    </w:tbl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/>
        <w:jc w:val="center"/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pStyle w:val="1039"/>
        <w:pBdr/>
        <w:spacing/>
        <w:ind w:right="282"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 w:firstLine="709"/>
        <w:jc w:val="both"/>
        <w:rPr>
          <w:b w:val="0"/>
          <w:highlight w:val="white"/>
        </w:rPr>
        <w:sectPr>
          <w:footnotePr/>
          <w:endnotePr/>
          <w:type w:val="nextPage"/>
          <w:pgSz w:h="11906" w:orient="landscape" w:w="16838"/>
          <w:pgMar w:top="426" w:right="678" w:bottom="567" w:left="1134" w:header="709" w:footer="294" w:gutter="0"/>
          <w:pgNumType w:start="1"/>
          <w:cols w:num="1" w:sep="0" w:space="708" w:equalWidth="1"/>
          <w:titlePg/>
        </w:sect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Поправочные </w:t>
      </w:r>
      <w:r>
        <w:rPr>
          <w:b w:val="0"/>
          <w:highlight w:val="white"/>
        </w:rPr>
        <w:t xml:space="preserve">коэффициенты к нормативным затратам, непосредственно связанным с оказанием государственной услуги, организаций социального обслуживания, </w:t>
      </w:r>
      <w:r>
        <w:rPr>
          <w:rFonts w:eastAsia="Calibri"/>
          <w:b w:val="0"/>
          <w:highlight w:val="white"/>
        </w:rPr>
        <w:t xml:space="preserve">находящихся в ведении </w:t>
      </w:r>
      <w:r>
        <w:rPr>
          <w:b w:val="0"/>
          <w:highlight w:val="white"/>
        </w:rPr>
        <w:t xml:space="preserve">Республики Татарстан, на 2026 год и на плановый период 2027 и 2028 годов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656"/>
        <w:gridCol w:w="7099"/>
        <w:gridCol w:w="2156"/>
      </w:tblGrid>
      <w:tr>
        <w:trPr/>
        <w:tc>
          <w:tcPr>
            <w:shd w:val="clear" w:color="auto" w:fill="auto"/>
            <w:tcBorders/>
            <w:tcW w:w="656" w:type="dxa"/>
            <w:textDirection w:val="lrTb"/>
            <w:noWrap w:val="false"/>
          </w:tcPr>
          <w:p>
            <w:pPr>
              <w:pBdr/>
              <w:spacing w:line="230" w:lineRule="auto"/>
              <w:ind w:right="-4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п/п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7099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организации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156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Поправочный коэффициент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656" w:type="dxa"/>
            <w:textDirection w:val="lrTb"/>
            <w:noWrap w:val="false"/>
          </w:tcPr>
          <w:p>
            <w:pPr>
              <w:pBdr/>
              <w:spacing w:line="230" w:lineRule="auto"/>
              <w:ind w:right="-4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7099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осударственное автономное учреждение социального обслуживания (далее – ГАУСО) «Центр реабилитации инвалидов «Восхождение»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156" w:type="dxa"/>
            <w:textDirection w:val="lrTb"/>
            <w:noWrap w:val="false"/>
          </w:tcPr>
          <w:p>
            <w:pPr>
              <w:pBdr/>
              <w:spacing w:line="230" w:lineRule="auto"/>
              <w:ind w:right="-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1,083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656" w:type="dxa"/>
            <w:textDirection w:val="lrTb"/>
            <w:noWrap w:val="false"/>
          </w:tcPr>
          <w:p>
            <w:pPr>
              <w:pBdr/>
              <w:spacing w:line="230" w:lineRule="auto"/>
              <w:ind w:right="-4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7099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</w:t>
            </w:r>
            <w:r>
              <w:rPr>
                <w:sz w:val="28"/>
                <w:szCs w:val="28"/>
                <w:highlight w:val="white"/>
              </w:rPr>
              <w:t xml:space="preserve">Изгелек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156" w:type="dxa"/>
            <w:textDirection w:val="lrTb"/>
            <w:noWrap w:val="false"/>
          </w:tcPr>
          <w:p>
            <w:pPr>
              <w:pBdr/>
              <w:spacing w:line="230" w:lineRule="auto"/>
              <w:ind w:right="-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1,08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656" w:type="dxa"/>
            <w:textDirection w:val="lrTb"/>
            <w:noWrap w:val="false"/>
          </w:tcPr>
          <w:p>
            <w:pPr>
              <w:pBdr/>
              <w:spacing w:line="230" w:lineRule="auto"/>
              <w:ind w:right="-4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7099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«Солнечный»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156" w:type="dxa"/>
            <w:textDirection w:val="lrTb"/>
            <w:noWrap w:val="false"/>
          </w:tcPr>
          <w:p>
            <w:pPr>
              <w:pBdr/>
              <w:spacing w:line="230" w:lineRule="auto"/>
              <w:ind w:right="-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1,02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/>
        <w:tc>
          <w:tcPr>
            <w:shd w:val="clear" w:color="auto" w:fill="auto"/>
            <w:tcBorders/>
            <w:tcW w:w="656" w:type="dxa"/>
            <w:textDirection w:val="lrTb"/>
            <w:noWrap w:val="false"/>
          </w:tcPr>
          <w:p>
            <w:pPr>
              <w:pBdr/>
              <w:spacing w:line="230" w:lineRule="auto"/>
              <w:ind w:right="-49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7099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Государственное бюджетное учреждение «</w:t>
            </w:r>
            <w:r>
              <w:rPr>
                <w:sz w:val="28"/>
                <w:szCs w:val="28"/>
                <w:highlight w:val="white"/>
              </w:rPr>
              <w:t xml:space="preserve">Кайбицкий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2156" w:type="dxa"/>
            <w:textDirection w:val="lrTb"/>
            <w:noWrap w:val="false"/>
          </w:tcPr>
          <w:p>
            <w:pPr>
              <w:pBdr/>
              <w:spacing w:line="230" w:lineRule="auto"/>
              <w:ind w:right="-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1,15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/>
        <w:rPr>
          <w:sz w:val="28"/>
          <w:szCs w:val="28"/>
          <w:highlight w:val="white"/>
        </w:rPr>
        <w:sectPr>
          <w:footnotePr/>
          <w:endnotePr/>
          <w:type w:val="nextPage"/>
          <w:pgSz w:h="16838" w:orient="portrait" w:w="11906"/>
          <w:pgMar w:top="678" w:right="567" w:bottom="1134" w:left="1418" w:header="709" w:footer="294" w:gutter="0"/>
          <w:pgNumType w:start="9"/>
          <w:cols w:num="1" w:sep="0" w:space="708" w:equalWidth="1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202</w:t>
      </w:r>
      <w:r>
        <w:rPr>
          <w:sz w:val="28"/>
          <w:szCs w:val="28"/>
          <w:highlight w:val="white"/>
          <w:lang w:val="ru-RU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  <w:t xml:space="preserve">Поправочные </w:t>
      </w:r>
      <w:r>
        <w:rPr>
          <w:b w:val="0"/>
          <w:highlight w:val="white"/>
        </w:rPr>
        <w:t xml:space="preserve">коэффициенты к иным затратам в составе нормативных затрат на общехозяйственные нужды, связанные с оказанием государственной услуги, организаций социального обслуживания, </w:t>
      </w:r>
      <w:r>
        <w:rPr>
          <w:rFonts w:eastAsia="Calibri"/>
          <w:b w:val="0"/>
          <w:highlight w:val="white"/>
        </w:rPr>
        <w:t xml:space="preserve">находящихся в ведении </w:t>
      </w:r>
      <w:r>
        <w:rPr>
          <w:b w:val="0"/>
          <w:highlight w:val="white"/>
        </w:rPr>
        <w:t xml:space="preserve">Республики Татарстан, на 2026 год и на плановый период 2027 и 2028 годов</w:t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/>
        <w:ind w:right="282"/>
        <w:jc w:val="center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 w:right="282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Ind w:w="-577" w:type="dxa"/>
        <w:tblW w:w="10541" w:type="dxa"/>
        <w:tblBorders/>
        <w:tblLayout w:type="fixed"/>
        <w:tblLook w:val="04A0" w:firstRow="1" w:lastRow="0" w:firstColumn="1" w:lastColumn="0" w:noHBand="0" w:noVBand="1"/>
      </w:tblPr>
      <w:tblGrid>
        <w:gridCol w:w="969"/>
        <w:gridCol w:w="7654"/>
        <w:gridCol w:w="1918"/>
      </w:tblGrid>
      <w:tr>
        <w:trPr>
          <w:trHeight w:val="68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 п/п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Вид и наименование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организации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Поправочный коэффициент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Дома-интернаты (пансионаты) для престарелых и инвалидов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Государственное автономное учреждение социального обслуживания (далее – ГАУСО) «</w:t>
            </w:r>
            <w:r>
              <w:rPr>
                <w:sz w:val="28"/>
                <w:szCs w:val="28"/>
                <w:highlight w:val="white"/>
              </w:rPr>
              <w:t xml:space="preserve">Азнакаевский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1,45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Актанышский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2,41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«Алексеевский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2,49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Алькеевский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1,52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«Арский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1,68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Верхнеуслонский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1,77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«Елабужский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2,18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Нурлатский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2,08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1.9.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Лесхозский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2,10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1.10.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Джалильский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1,40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«Федоровский дом-интернат для престарелых и инвалидов» Министерства труда, занятости и социальной защиты Республики Татарстан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2,75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Бавлинский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2,46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Буинский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1,29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96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Государственное бюджетное учреждение (далее – ГБУ) «</w:t>
            </w:r>
            <w:r>
              <w:rPr>
                <w:sz w:val="28"/>
                <w:szCs w:val="28"/>
                <w:highlight w:val="white"/>
              </w:rPr>
              <w:t xml:space="preserve">Кайбицкий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3,71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«Лениногорский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2,15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Мамадышский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2,01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Мензелинский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1,64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Муслюмовский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2,93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1.19.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Новошешминский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1,77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1.20.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Корноуховский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1,79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«Спасский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1,46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«Тетюшский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1,71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«Тукаевский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2,40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«Черемшанский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1,41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«Чистопольский дом-интернат для престарелых и инвалидов «</w:t>
            </w:r>
            <w:r>
              <w:rPr>
                <w:sz w:val="28"/>
                <w:szCs w:val="28"/>
                <w:highlight w:val="white"/>
              </w:rPr>
              <w:t xml:space="preserve">Юлдаш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1,85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Набережночелнинский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2,04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969" w:type="dxa"/>
            <w:vMerge w:val="restart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7654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Зеленодольский дом-интернат для престарелых и инвалидов «Дом заботы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1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3,59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Дома-интернаты, предназначенные для граждан, имеющих психические расстройства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«Елабужский дом-интернат, предназначенный для граждан, имеющих психические расстройства»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1,0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Зеленодольский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дом-интернат, предназначенный для граждан, имеющих психические расстройства»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1,22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Чистопольский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дом-интернат, предназначенный для граждан, имеющих психические расстройства»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1,20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«Казанский дом-интернат, предназначенный для граждан, имеющих психические расстройства»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1,36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«Ново-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Чурилинский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дом-интернат, предназначенный для граждан, имеющих психические расстройства»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1,31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«Камско-Полянский дом-интернат, предназначенный для граждан, имеющих психические расстройства»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1,04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197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социальной адаптации для лиц без определенного места жительства и занятий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социальной адаптации для лиц без определенного места жительства и занятий «Перекресток» Министерства труда, занятости и социальной защиты Республики Татарстан в городском округе «город Набережные Челны»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  <w:lang w:val="en-US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социальной адаптации для лиц без определенного места жительства и занятий «Милосердие» Министерства труда, занятости и социальной защиты Республики Татарстан в городском округе «город Казань»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1,15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Реабилитационные центры для детей и подростков с ограниченными возможностями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8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</w:t>
            </w: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«Исток Надежды» в Арском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1,42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«Радость» («</w:t>
            </w:r>
            <w:r>
              <w:rPr>
                <w:sz w:val="28"/>
                <w:szCs w:val="28"/>
                <w:highlight w:val="white"/>
              </w:rPr>
              <w:t xml:space="preserve">Шатлык</w:t>
            </w:r>
            <w:r>
              <w:rPr>
                <w:sz w:val="28"/>
                <w:szCs w:val="28"/>
                <w:highlight w:val="white"/>
              </w:rPr>
              <w:t xml:space="preserve">») в </w:t>
            </w:r>
            <w:r>
              <w:rPr>
                <w:sz w:val="28"/>
                <w:szCs w:val="28"/>
                <w:highlight w:val="white"/>
              </w:rPr>
              <w:t xml:space="preserve">Бавлинском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2,65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«Милосердие» в Кукморском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в Лаишевском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3,04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</w:t>
            </w:r>
            <w:r>
              <w:rPr>
                <w:sz w:val="28"/>
                <w:szCs w:val="28"/>
                <w:highlight w:val="white"/>
              </w:rPr>
              <w:t xml:space="preserve">Умырзая</w:t>
            </w:r>
            <w:r>
              <w:rPr>
                <w:sz w:val="28"/>
                <w:szCs w:val="28"/>
                <w:highlight w:val="white"/>
              </w:rPr>
              <w:t xml:space="preserve">» в Мензелинском муниципальном районе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2,99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«Возрождение» Министерства труда, занятости и социальной защиты Республики Татарстан в Бугульминском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1,95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«Астра» в Елабужском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2,97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«Доверие» Министерства труда, занятости и социальной защиты Республики Татарстан в Зеленодольском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2,71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.9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«Солнышко» в городском округе «город Набережные Челны»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3,54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.1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ГБУ </w:t>
            </w:r>
            <w:r>
              <w:rPr>
                <w:sz w:val="28"/>
                <w:szCs w:val="28"/>
                <w:highlight w:val="white"/>
              </w:rPr>
              <w:t xml:space="preserve">«</w:t>
            </w:r>
            <w:r>
              <w:rPr>
                <w:sz w:val="28"/>
                <w:szCs w:val="28"/>
                <w:highlight w:val="white"/>
              </w:rPr>
              <w:t xml:space="preserve">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«Апрель» в городском округе «город Казань»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1,38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.1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«Солнечный» Министерства труда, занятости и социальной защиты Республики Татарстан»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1,84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реабилитации инвалидов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«Березка»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1,98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ГБУ «Республиканский центр социальной реабилитации инвалидов «</w:t>
            </w:r>
            <w:r>
              <w:rPr>
                <w:sz w:val="28"/>
                <w:szCs w:val="28"/>
                <w:highlight w:val="white"/>
              </w:rPr>
              <w:t xml:space="preserve">Идель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3,28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677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</w:t>
            </w:r>
            <w:r>
              <w:rPr>
                <w:sz w:val="28"/>
                <w:szCs w:val="28"/>
                <w:highlight w:val="white"/>
              </w:rPr>
              <w:t xml:space="preserve">Изгелек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2,77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«Ветеран»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14:ligatures w14:val="non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23</w:t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  <w:r>
              <w:rPr>
                <w:rFonts w:eastAsia="Calibri"/>
                <w:sz w:val="28"/>
                <w:szCs w:val="28"/>
                <w:highlight w:val="white"/>
                <w14:ligatures w14:val="none"/>
              </w:rPr>
            </w:r>
          </w:p>
        </w:tc>
      </w:tr>
      <w:tr>
        <w:trPr>
          <w:trHeight w:val="388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none" w:color="000000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«Восхождение»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none" w:color="000000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57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73"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Социально-реабилитационные отделения комплексных центров социального обслуживания населения (далее – КЦСОН)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.1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«Нежность» Министерства труда, занятости и социальной защиты Республики Татарстан в Аксубаевском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3,0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482"/>
        </w:trPr>
        <w:tc>
          <w:tcPr>
            <w:shd w:val="clear" w:color="auto" w:fill="auto"/>
            <w:tcBorders>
              <w:top w:val="none" w:color="000000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.2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7654" w:type="dxa"/>
            <w:textDirection w:val="lrTb"/>
            <w:noWrap w:val="false"/>
          </w:tcPr>
          <w:p>
            <w:pPr>
              <w:pBdr/>
              <w:spacing w:line="226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</w:t>
            </w:r>
            <w:r>
              <w:rPr>
                <w:sz w:val="28"/>
                <w:szCs w:val="28"/>
                <w:highlight w:val="white"/>
              </w:rPr>
              <w:t xml:space="preserve">Наз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Балтасинском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6,57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.3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«Милосердие» Министерства труда, занятости и социальной защиты Республики Татарстан в Нижнекамском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3,47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4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.4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</w:t>
            </w:r>
            <w:r>
              <w:rPr>
                <w:sz w:val="28"/>
                <w:szCs w:val="28"/>
                <w:highlight w:val="white"/>
              </w:rPr>
              <w:t xml:space="preserve">Шафкать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Сармановском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4,05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3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«Забота» Министерства труда, занятости и социальной защиты Республики Татарстан в Мамадышском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2,24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  <w:t xml:space="preserve">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Центры социальной реабилитации слепых и слабовидящих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  <w:t xml:space="preserve">.1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ГБУ «Республиканский центр социальной реабилитации слепых и слабовидящих»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0,95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Отделения дневного пребывания комплексных центров социального обслуживания населения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КЦСОН в городском округе «город Казань»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1,83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Балкыш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Чистопольском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48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«Радость» Министерства труда, занятости и социальной защиты Республики Татарстан в Заинском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35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«Доверие» Министерства труда, занятости и социальной защиты Республики Татарстан в Елабужском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0,9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«Доверие» Министерства труда, занятости и социальной защиты Республики Татарстан в городском округе "город Набережные Челны»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firstLine="708"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8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Шафкать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Сармановском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 w:right="-8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«Забота» Министерства труда, занятости и социальной защиты Республики Татарстан в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Мамадышском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46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8.8.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«Центр милосердия» Министерства труда, занятости и социальной защиты Республики Татарстан в Арском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39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8.9.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«Милосердие» Министерства труда, занятости и социальной защиты Республики Татарстан в Нижнекамском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5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Отделения социальной реабилитации больных наркоманией КЦСОН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outlineLvl w:val="0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9.1.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социальной реабилитации больных наркоманией ГАУСО «КЦСОН «Опека» Министерства труда, занятости и социальной защиты Республики Татарстан в Альметьевском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21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9.2.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социальной реабилитации больных наркоманией ГАУСО «КЦСОН «Доверие» Министерства труда, занятости и социальной защиты Республики Татарстан в городском округе «город Набережные Челны»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0,2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4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7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9.3.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7654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социальной реабилитации больных наркоманией ГАУСО «КЦСОН в городском округе «город Казань»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0,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50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</w:tbl>
    <w:p>
      <w:pPr>
        <w:pStyle w:val="1039"/>
        <w:pBdr/>
        <w:spacing w:line="312" w:lineRule="auto"/>
        <w:ind w:right="282"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Style w:val="1039"/>
        <w:pBdr/>
        <w:spacing w:line="312" w:lineRule="auto"/>
        <w:ind w:right="282" w:firstLine="709"/>
        <w:jc w:val="both"/>
        <w:rPr>
          <w:b w:val="0"/>
          <w:highlight w:val="white"/>
        </w:rPr>
        <w:sectPr>
          <w:footnotePr/>
          <w:endnotePr/>
          <w:type w:val="nextPage"/>
          <w:pgSz w:h="16838" w:orient="portrait" w:w="11906"/>
          <w:pgMar w:top="678" w:right="567" w:bottom="1134" w:left="1418" w:header="709" w:footer="294" w:gutter="0"/>
          <w:pgNumType w:start="1"/>
          <w:cols w:num="1" w:sep="0" w:space="708" w:equalWidth="1"/>
          <w:titlePg/>
        </w:sect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202</w:t>
      </w:r>
      <w:r>
        <w:rPr>
          <w:sz w:val="28"/>
          <w:szCs w:val="28"/>
          <w:highlight w:val="white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39"/>
        <w:pBdr/>
        <w:spacing w:line="312" w:lineRule="auto"/>
        <w:ind w:right="282" w:firstLine="709"/>
        <w:jc w:val="both"/>
        <w:rPr>
          <w:b w:val="0"/>
          <w:highlight w:val="white"/>
        </w:rPr>
      </w:pPr>
      <w:r>
        <w:rPr>
          <w:b w:val="0"/>
          <w:highlight w:val="white"/>
        </w:rPr>
      </w:r>
      <w:r>
        <w:rPr>
          <w:b w:val="0"/>
          <w:highlight w:val="white"/>
        </w:rPr>
      </w:r>
      <w:r>
        <w:rPr>
          <w:b w:val="0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</w:t>
      </w:r>
      <w:r>
        <w:rPr>
          <w:sz w:val="28"/>
          <w:szCs w:val="28"/>
          <w:highlight w:val="white"/>
        </w:rPr>
        <w:t xml:space="preserve">коэффициенты к иным затратам в составе нормативных затрат на оказание государственных услуг центрами социальной помощи семье и детям, отделениями социальной помощи семье</w:t>
      </w:r>
      <w:r>
        <w:rPr>
          <w:sz w:val="28"/>
          <w:szCs w:val="28"/>
          <w:highlight w:val="white"/>
        </w:rPr>
        <w:t xml:space="preserve"> и детям, отделениями социального обслуживания на дому комплексных центров социального обслуживания населения, осуществляющих свою деятельность на территории муниципальных образований (городских округов), 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center"/>
        <w:rPr>
          <w:b/>
          <w:highlight w:val="white"/>
        </w:rPr>
      </w:pPr>
      <w:r>
        <w:rPr>
          <w:b/>
          <w:highlight w:val="white"/>
        </w:rPr>
      </w:r>
      <w:r>
        <w:rPr>
          <w:b/>
          <w:highlight w:val="white"/>
        </w:rPr>
      </w:r>
      <w:r>
        <w:rPr>
          <w:b/>
          <w:highlight w:val="white"/>
        </w:rPr>
      </w:r>
    </w:p>
    <w:tbl>
      <w:tblPr>
        <w:tblInd w:w="-459" w:type="dxa"/>
        <w:tblW w:w="10514" w:type="dxa"/>
        <w:tblBorders/>
        <w:tblLayout w:type="fixed"/>
        <w:tblLook w:val="04A0" w:firstRow="1" w:lastRow="0" w:firstColumn="1" w:lastColumn="0" w:noHBand="0" w:noVBand="1"/>
      </w:tblPr>
      <w:tblGrid>
        <w:gridCol w:w="1016"/>
        <w:gridCol w:w="5812"/>
        <w:gridCol w:w="1843"/>
        <w:gridCol w:w="1843"/>
      </w:tblGrid>
      <w:tr>
        <w:trPr>
          <w:trHeight w:val="403"/>
          <w:tblHeader/>
        </w:trPr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1016" w:type="dxa"/>
            <w:vMerge w:val="restart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№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п/п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5812" w:type="dxa"/>
            <w:vMerge w:val="restart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муниципального образов</w:t>
            </w:r>
            <w:r>
              <w:rPr>
                <w:sz w:val="28"/>
                <w:szCs w:val="28"/>
                <w:highlight w:val="white"/>
              </w:rPr>
              <w:t xml:space="preserve">а</w:t>
            </w:r>
            <w:r>
              <w:rPr>
                <w:sz w:val="28"/>
                <w:szCs w:val="28"/>
                <w:highlight w:val="white"/>
              </w:rPr>
              <w:t xml:space="preserve">ния/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  <w:t xml:space="preserve">форм</w:t>
            </w:r>
            <w:r>
              <w:rPr>
                <w:sz w:val="28"/>
                <w:szCs w:val="28"/>
                <w:highlight w:val="white"/>
              </w:rPr>
              <w:t xml:space="preserve">ы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социальн</w:t>
            </w:r>
            <w:r>
              <w:rPr>
                <w:sz w:val="28"/>
                <w:szCs w:val="28"/>
                <w:highlight w:val="white"/>
              </w:rPr>
              <w:t xml:space="preserve">ого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8" w:space="0"/>
              <w:left w:val="none" w:color="000000" w:sz="4" w:space="0"/>
              <w:bottom w:val="single" w:color="auto" w:sz="8" w:space="0"/>
              <w:right w:val="single" w:color="000000" w:sz="8" w:space="0"/>
            </w:tcBorders>
            <w:tcW w:w="3686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Поправочный коэффициент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525"/>
          <w:tblHeader/>
        </w:trPr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1016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30" w:lineRule="auto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W w:w="581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 w:line="230" w:lineRule="auto"/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843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городская местность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right w:val="single" w:color="auto" w:sz="8" w:space="0"/>
            </w:tcBorders>
            <w:tcW w:w="1843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сельская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 w:line="230" w:lineRule="auto"/>
              <w:ind w:right="282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местность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Bdr/>
        <w:spacing w:line="230" w:lineRule="auto"/>
        <w:ind w:right="282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Ind w:w="-459" w:type="dxa"/>
        <w:tblW w:w="10519" w:type="dxa"/>
        <w:tblBorders/>
        <w:tblLayout w:type="fixed"/>
        <w:tblLook w:val="04A0" w:firstRow="1" w:lastRow="0" w:firstColumn="1" w:lastColumn="0" w:noHBand="0" w:noVBand="1"/>
      </w:tblPr>
      <w:tblGrid>
        <w:gridCol w:w="1021"/>
        <w:gridCol w:w="5812"/>
        <w:gridCol w:w="1843"/>
        <w:gridCol w:w="1843"/>
      </w:tblGrid>
      <w:tr>
        <w:trPr>
          <w:trHeight w:val="2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Агрызский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48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0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Азнакаевский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Аксубаевский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1,0581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Актанышский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1,0353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Алексеевский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0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1,3567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1,3567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1,2283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1,2314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Алькеевский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5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1,1852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1,1852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Альметьевский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4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1,0593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Апастовский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Арский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9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7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Атнинский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1,1904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1,1904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Бавлинский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Балтасинский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2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1,2634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1,2634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1,1862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Бугульминский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Буинский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4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1,1756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7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1,1238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Верхнеуслонский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1,0840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1,0584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Высокогорский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1,0808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1,0387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Дрожжановский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1,0949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6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Елабужский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7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Заинский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6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Зеленодольский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7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1,1457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1,1457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Кайбицкий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5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1,3282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1,3282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1,1879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1,2597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Камско-Устьинский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1,2482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1,2482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0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Кукморский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6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8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Лаишевский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1,3047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1,3047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6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1,1768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1,2318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Лениногорский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Мамадышский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8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1,2816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1,2816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26.2.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1,2015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Менделеевский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1,1411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1,1411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27.2.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9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Мензелинский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9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9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1,0677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1,0551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7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Муслюмовский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1,2725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1,2725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1,1600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1,2039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Нижнекамский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4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1"/>
        </w:trPr>
        <w:tc>
          <w:tcPr>
            <w:shd w:val="clear" w:color="auto" w:fill="auto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8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Новошешминский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1,0305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Нурлатский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1,1650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1,1650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5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1,1044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1,0734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0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Пестречинский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1,0890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1,0457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Рыбно-Слободский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Сабинский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0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1,1569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1,1569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Сармановский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7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1,0598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4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51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1,1387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2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1,0959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Тетюшский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1,1054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71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1,0706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1,0595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39.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Тукаевский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39.1.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1,0299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39.2.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1,0161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23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Тюлячинский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3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1,2486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1,2486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1,2102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Черемшанский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5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1,1288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1,0865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Чистопольский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9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42.2.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1,0625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1,0470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6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Ютазинский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2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1,1394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3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1,0941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1,0776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89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 Набережные Челны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1,1118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4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1,0828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1,0486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21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45.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 Казань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424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45.1.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полустационарная форма социального обслуживания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1,0392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1,0392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rPr>
          <w:trHeight w:val="197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02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45.2.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812" w:type="dxa"/>
            <w:textDirection w:val="lrTb"/>
            <w:noWrap w:val="false"/>
          </w:tcPr>
          <w:p>
            <w:pPr>
              <w:pBdr/>
              <w:spacing w:line="230" w:lineRule="auto"/>
              <w:ind w:right="282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форма социального обслуживания на дому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8"/>
                <w:highlight w:val="white"/>
                <w:u w:val="none"/>
                <w:vertAlign w:val="baseline"/>
              </w:rPr>
              <w:t xml:space="preserve">1,0207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Bdr/>
        <w:spacing/>
        <w:ind w:right="282" w:firstLine="426" w:left="-284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line="230" w:lineRule="auto"/>
        <w:ind w:right="282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line="230" w:lineRule="auto"/>
        <w:ind w:right="282"/>
        <w:jc w:val="center"/>
        <w:rPr>
          <w:sz w:val="28"/>
          <w:szCs w:val="28"/>
          <w:highlight w:val="white"/>
        </w:rPr>
        <w:sectPr>
          <w:footnotePr/>
          <w:endnotePr/>
          <w:type w:val="nextPage"/>
          <w:pgSz w:h="16838" w:orient="portrait" w:w="11906"/>
          <w:pgMar w:top="678" w:right="567" w:bottom="1134" w:left="1418" w:header="709" w:footer="294" w:gutter="0"/>
          <w:pgNumType w:start="1"/>
          <w:cols w:num="1" w:sep="0" w:space="708" w:equalWidth="1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202</w:t>
      </w:r>
      <w:r>
        <w:rPr>
          <w:sz w:val="28"/>
          <w:szCs w:val="28"/>
          <w:highlight w:val="white"/>
          <w:lang w:val="ru-RU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 w:line="230" w:lineRule="auto"/>
        <w:ind w:right="282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Количество </w:t>
      </w:r>
      <w:r>
        <w:rPr>
          <w:sz w:val="28"/>
          <w:szCs w:val="28"/>
          <w:highlight w:val="white"/>
        </w:rPr>
        <w:t xml:space="preserve">койко-дней и койко-мест в организациях социального обслуживания, находящихся в ведении Республики Татарстан со стационарной формой социального обслуживания, осуществляющих свою деятельность на территории муниципальных образований (городских округов), 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num" w:leader="none" w:pos="960"/>
        </w:tabs>
        <w:spacing/>
        <w:ind w:right="1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num" w:leader="none" w:pos="960"/>
        </w:tabs>
        <w:spacing/>
        <w:ind w:right="140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118" w:type="dxa"/>
        <w:tblW w:w="15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76"/>
        <w:gridCol w:w="8080"/>
        <w:gridCol w:w="1701"/>
        <w:gridCol w:w="1675"/>
      </w:tblGrid>
      <w:tr>
        <w:trPr>
          <w:trHeight w:val="227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муниципального образования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организации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койко-дней в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койко-мест в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Bdr/>
        <w:tabs>
          <w:tab w:val="num" w:leader="none" w:pos="960"/>
        </w:tabs>
        <w:spacing w:line="40" w:lineRule="atLeast"/>
        <w:ind w:right="142"/>
        <w:jc w:val="center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Ind w:w="118" w:type="dxa"/>
        <w:tblW w:w="15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676"/>
        <w:gridCol w:w="8080"/>
        <w:gridCol w:w="1701"/>
        <w:gridCol w:w="1675"/>
      </w:tblGrid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Азнакаевский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государственное автономное учреждение социального обслуживания (далее – ГАУСО) «Азнакаевский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38 325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Аксубаевский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«Федоровский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37 180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Актанышский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«Актанышский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20 160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Алексеевский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«Алексеевский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  <w:t xml:space="preserve">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Алькеевский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«Алькеевский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 </w:t>
            </w:r>
            <w:r>
              <w:rPr>
                <w:sz w:val="28"/>
                <w:szCs w:val="28"/>
                <w:highlight w:val="white"/>
              </w:rPr>
              <w:t xml:space="preserve">550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Арский муниципальный район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«Ново-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Чурилинский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дом-интернат, предназначенный для граждан, имеющих психические расстройства»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47 854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6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«Арский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 </w:t>
            </w:r>
            <w:r>
              <w:rPr>
                <w:sz w:val="28"/>
                <w:szCs w:val="28"/>
                <w:highlight w:val="white"/>
              </w:rPr>
              <w:t xml:space="preserve">250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Бавлинский муниципальный район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«Бавлинский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 </w:t>
            </w:r>
            <w:r>
              <w:rPr>
                <w:sz w:val="28"/>
                <w:szCs w:val="28"/>
                <w:highlight w:val="white"/>
              </w:rPr>
              <w:t xml:space="preserve">615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Буинский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«Буинский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 </w:t>
            </w:r>
            <w:r>
              <w:rPr>
                <w:sz w:val="28"/>
                <w:szCs w:val="28"/>
                <w:highlight w:val="white"/>
              </w:rPr>
              <w:t xml:space="preserve">80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Верхнеуслонский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«Верхнеуслонский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 </w:t>
            </w: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Елабужский муниципальный район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Елабужский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дом-интернат для престарелых и инвалидов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44 895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6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Елабужский дом-интернат, предназначенный для граждан, имеющих психические расстройства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53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ffffff" w:fill="ffffff"/>
            <w:tcBorders/>
            <w:tcW w:w="3676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Зеленодольский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808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Зеленодольский дом-интернат для престарелых и инвалидов «Дом заботы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/>
            <w:tcW w:w="170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43 800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«Зеленодольский </w:t>
            </w:r>
            <w:r>
              <w:rPr>
                <w:sz w:val="28"/>
                <w:szCs w:val="28"/>
                <w:highlight w:val="white"/>
              </w:rPr>
              <w:t xml:space="preserve">дом-интернат, предназначенный для граждан, имеющих психические расстройства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19</w:t>
            </w: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296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Кайбицкий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государственное бюджетное учреждение «Кайбицкий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</w:t>
            </w: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28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Лениногорский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«Лениногорский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31025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Мамадышский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«Мамадышский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 </w:t>
            </w:r>
            <w:r>
              <w:rPr>
                <w:sz w:val="28"/>
                <w:szCs w:val="28"/>
                <w:highlight w:val="white"/>
              </w:rPr>
              <w:t xml:space="preserve">550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Мензелинский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«Мензелинский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21 90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Муслюмовский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«Муслюмовский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17 900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</w:t>
            </w:r>
            <w:r>
              <w:rPr>
                <w:sz w:val="28"/>
                <w:szCs w:val="28"/>
                <w:highlight w:val="white"/>
              </w:rPr>
              <w:t xml:space="preserve">ород Набережные Челны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социальной адаптации для лиц без определенного места жительства и занятий «Перекресток» Министерства труда, занятости и социальной защиты Республики Татарстан в городском округе «город Набережные Челны»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 </w:t>
            </w: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6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Набережночелнинский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</w:t>
            </w:r>
            <w:r>
              <w:rPr>
                <w:sz w:val="28"/>
                <w:szCs w:val="28"/>
                <w:highlight w:val="white"/>
              </w:rPr>
              <w:t xml:space="preserve">90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Нижнекамский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«Камско-Полянский дом-интернат, предназначенный для граждан, имеющих психические расстройства»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84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Новошешминский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«Новошешминский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Нурлатский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«Нурлатский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450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Рыбно-Слободский муниципальный район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Корноуховский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 Министерства труда, занятости и социальной защиты Республики Татарстан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 </w:t>
            </w: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Сабинский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Лесхозский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 </w:t>
            </w:r>
            <w:r>
              <w:rPr>
                <w:sz w:val="28"/>
                <w:szCs w:val="28"/>
                <w:highlight w:val="white"/>
              </w:rPr>
              <w:t xml:space="preserve">80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Сармановский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Джалильский</w:t>
            </w:r>
            <w:r>
              <w:rPr>
                <w:sz w:val="28"/>
                <w:szCs w:val="28"/>
                <w:highlight w:val="white"/>
              </w:rPr>
              <w:t xml:space="preserve">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47 060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Спасский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«Спасский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21 180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Тукаевский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«Тукаевский дом-интернат для престарелых и инвалидов» Министерства труда, занятости и социальной защиты Республики Татарстан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 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Тетюшский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«Тетюшский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16 4</w:t>
            </w: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Черемшанский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«Черемшанский дом-интернат для престарелых и инвалидов»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21 6</w:t>
            </w: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36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Чистопольский муниципальный район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«Чистопольский дом-интернат для престарелых и инвалидов «</w:t>
            </w:r>
            <w:r>
              <w:rPr>
                <w:sz w:val="28"/>
                <w:szCs w:val="28"/>
                <w:highlight w:val="white"/>
              </w:rPr>
              <w:t xml:space="preserve">Юлдаш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200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6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</w:t>
            </w:r>
            <w:r>
              <w:rPr>
                <w:sz w:val="28"/>
                <w:szCs w:val="28"/>
                <w:highlight w:val="white"/>
              </w:rPr>
              <w:t xml:space="preserve">Чистопольский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дом-интернат, предназначенный для граждан, имеющих психические расстройства»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390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676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 Казань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социальной адаптации для лиц без определенного места жительства и занятий «Милосердие» Министерства труда, занятости и социальной защиты Республики Татарстан в городском округе «город Казань»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325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3676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808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ГАУСО «Казанский дом-интернат, предназначенный для граждан, имеющих психические расстройства»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  <w:t xml:space="preserve"> </w:t>
            </w:r>
            <w:r>
              <w:rPr>
                <w:sz w:val="28"/>
                <w:szCs w:val="28"/>
                <w:highlight w:val="white"/>
              </w:rPr>
              <w:t xml:space="preserve">331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675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Bdr/>
        <w:tabs>
          <w:tab w:val="num" w:leader="none" w:pos="960"/>
        </w:tabs>
        <w:spacing/>
        <w:ind w:right="1085" w:firstLine="709"/>
        <w:jc w:val="center"/>
        <w:rPr>
          <w:sz w:val="28"/>
          <w:szCs w:val="28"/>
          <w:highlight w:val="white"/>
        </w:rPr>
        <w:sectPr>
          <w:footnotePr/>
          <w:endnotePr/>
          <w:type w:val="nextPage"/>
          <w:pgSz w:h="11906" w:orient="landscape" w:w="16838"/>
          <w:pgMar w:top="1418" w:right="678" w:bottom="567" w:left="1134" w:header="709" w:footer="294" w:gutter="0"/>
          <w:pgNumType w:start="1"/>
          <w:cols w:num="1" w:sep="0" w:space="708" w:equalWidth="1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 w:left="7380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Утвержден</w:t>
      </w:r>
      <w:r>
        <w:rPr>
          <w:sz w:val="28"/>
          <w:szCs w:val="28"/>
          <w:highlight w:val="white"/>
        </w:rPr>
        <w:t xml:space="preserve">о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Кабинета Министров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Республики Татарстан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right="282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«__» ______ 202</w:t>
      </w:r>
      <w:r>
        <w:rPr>
          <w:sz w:val="28"/>
          <w:szCs w:val="28"/>
          <w:highlight w:val="white"/>
          <w:lang w:val="ru-RU"/>
        </w:rPr>
        <w:t xml:space="preserve">5</w:t>
      </w:r>
      <w:r>
        <w:rPr>
          <w:sz w:val="28"/>
          <w:szCs w:val="28"/>
          <w:highlight w:val="white"/>
        </w:rPr>
        <w:t xml:space="preserve"> № ____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num" w:leader="none" w:pos="960"/>
        </w:tabs>
        <w:spacing/>
        <w:ind w:right="108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Количество </w:t>
      </w:r>
      <w:r>
        <w:rPr>
          <w:sz w:val="28"/>
          <w:szCs w:val="28"/>
          <w:highlight w:val="white"/>
        </w:rPr>
        <w:t xml:space="preserve">койко-дней и ко</w:t>
      </w:r>
      <w:r>
        <w:rPr>
          <w:sz w:val="28"/>
          <w:szCs w:val="28"/>
          <w:highlight w:val="white"/>
        </w:rPr>
        <w:t xml:space="preserve">йко-мест в организациях социального обслуживания, находящихся в ведении Республики Татарстан со стационарной и полустационарной формами социального обслуживания, осуществляющих свою деятельность на территории муниципальных образований (городских округов),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на 2026 год и на плановый период 2027 и 2028 годов.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num" w:leader="none" w:pos="960"/>
        </w:tabs>
        <w:spacing/>
        <w:ind w:right="-5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Ind w:w="-601" w:type="dxa"/>
        <w:tblW w:w="16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961"/>
        <w:gridCol w:w="1446"/>
        <w:gridCol w:w="1701"/>
        <w:gridCol w:w="1389"/>
        <w:gridCol w:w="1134"/>
        <w:gridCol w:w="1559"/>
        <w:gridCol w:w="1560"/>
      </w:tblGrid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муниципального образования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bottom w:val="none" w:color="000000" w:sz="4" w:space="0"/>
            </w:tcBorders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Наименование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организации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shd w:val="clear" w:color="auto" w:fill="auto"/>
            <w:tcBorders>
              <w:bottom w:val="single" w:color="auto" w:sz="4" w:space="0"/>
            </w:tcBorders>
            <w:tcW w:w="453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койко-дней в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Borders>
              <w:bottom w:val="single" w:color="auto" w:sz="4" w:space="0"/>
            </w:tcBorders>
            <w:tcW w:w="425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койко-мест</w:t>
            </w:r>
            <w:r>
              <w:rPr>
                <w:sz w:val="28"/>
                <w:szCs w:val="28"/>
                <w:highlight w:val="white"/>
              </w:rPr>
              <w:t xml:space="preserve">/мест</w:t>
            </w:r>
            <w:r>
              <w:rPr>
                <w:sz w:val="28"/>
                <w:szCs w:val="28"/>
                <w:highlight w:val="white"/>
              </w:rPr>
              <w:t xml:space="preserve"> в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single" w:color="auto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стацио</w:t>
            </w: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полу-стационар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сопровож</w:t>
            </w:r>
            <w:r>
              <w:rPr>
                <w:sz w:val="28"/>
                <w:szCs w:val="28"/>
                <w:highlight w:val="white"/>
              </w:rPr>
              <w:t xml:space="preserve">-дающие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стацио</w:t>
            </w: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нар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полу-стационар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>
              <w:bottom w:val="single" w:color="auto" w:sz="4" w:space="0"/>
            </w:tcBorders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сопровож</w:t>
            </w:r>
            <w:r>
              <w:rPr>
                <w:sz w:val="28"/>
                <w:szCs w:val="28"/>
                <w:highlight w:val="white"/>
              </w:rPr>
              <w:t xml:space="preserve">-дающие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Bdr/>
        <w:tabs>
          <w:tab w:val="num" w:leader="none" w:pos="960"/>
        </w:tabs>
        <w:spacing/>
        <w:ind w:right="140" w:firstLine="709"/>
        <w:jc w:val="both"/>
        <w:rPr>
          <w:sz w:val="2"/>
          <w:szCs w:val="2"/>
          <w:highlight w:val="white"/>
        </w:rPr>
      </w:pP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  <w:r>
        <w:rPr>
          <w:sz w:val="2"/>
          <w:szCs w:val="2"/>
          <w:highlight w:val="white"/>
        </w:rPr>
      </w:r>
    </w:p>
    <w:tbl>
      <w:tblPr>
        <w:tblInd w:w="-601" w:type="dxa"/>
        <w:tblW w:w="160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961"/>
        <w:gridCol w:w="1446"/>
        <w:gridCol w:w="1701"/>
        <w:gridCol w:w="1389"/>
        <w:gridCol w:w="1134"/>
        <w:gridCol w:w="1559"/>
        <w:gridCol w:w="1560"/>
      </w:tblGrid>
      <w:tr>
        <w:trPr>
          <w:trHeight w:val="20"/>
        </w:trPr>
        <w:tc>
          <w:tcPr>
            <w:shd w:val="clear" w:color="auto" w:fill="auto"/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Аксубаевский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«Нежность»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Аксубаевском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7 2</w:t>
            </w:r>
            <w:r>
              <w:rPr>
                <w:sz w:val="28"/>
                <w:szCs w:val="28"/>
                <w:highlight w:val="white"/>
              </w:rPr>
              <w:t xml:space="preserve">66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Альметьевский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«Ветеран»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12 144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10 759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1 038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44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53 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3 660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 w:line="230" w:lineRule="auto"/>
              <w:ind w:right="-108"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социальной реабилитации больных наркоманией ГАУСО «КЦСОН «Опека» Министерства труда, занятости и социальной защиты Республики Татарстан в Альметьевском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2 000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Арский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«Исток Надежды» в Арском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4 152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5 124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«Центр милосердия» Министерства труда, занятости и социальной защиты Республики Татарстан в Арском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3 000</w:t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</w:t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Бавлинский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«Радость» («</w:t>
            </w:r>
            <w:r>
              <w:rPr>
                <w:sz w:val="28"/>
                <w:szCs w:val="28"/>
                <w:highlight w:val="white"/>
              </w:rPr>
              <w:t xml:space="preserve">Шатлык</w:t>
            </w:r>
            <w:r>
              <w:rPr>
                <w:sz w:val="28"/>
                <w:szCs w:val="28"/>
                <w:highlight w:val="white"/>
              </w:rPr>
              <w:t xml:space="preserve">») в </w:t>
            </w:r>
            <w:r>
              <w:rPr>
                <w:sz w:val="28"/>
                <w:szCs w:val="28"/>
                <w:highlight w:val="white"/>
              </w:rPr>
              <w:t xml:space="preserve">Бавлинском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5 882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8 784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2 422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322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«Березка»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23 712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1 560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4 880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Балтасинский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</w:t>
            </w:r>
            <w:r>
              <w:rPr>
                <w:sz w:val="28"/>
                <w:szCs w:val="28"/>
                <w:highlight w:val="white"/>
              </w:rPr>
              <w:t xml:space="preserve">Наз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Балтасинском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9 688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Бугульминский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«Возрождение»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Бугульминском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5 190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4 392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692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Елабужский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«Астра» в Елабужском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5 856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1 730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732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732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«Доверие» Министерства труда, занятости и социальной защиты Республики Татарстан в Елабужском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>
              <w:bottom w:val="none" w:color="000000" w:sz="4" w:space="0"/>
            </w:tcBorders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Заинский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«Радость» Министерства труда, занятости и социальной защиты Республики Татарстан в Заинском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Зеленодольский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«Доверие» Министерства труда, занятости и социальной защиты Республики Татарстан в Зеленодольском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7 612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12 200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3 114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1 220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1 220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726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Государственное бюджетное учреждение (далее – ГБУ) «Республиканский центр социальной реабилитации инвалидов «</w:t>
            </w:r>
            <w:r>
              <w:rPr>
                <w:sz w:val="28"/>
                <w:szCs w:val="28"/>
                <w:highlight w:val="white"/>
              </w:rPr>
              <w:t xml:space="preserve">Идель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34 600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 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3 460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6 920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  <w:vertAlign w:val="superscript"/>
              </w:rPr>
            </w:pPr>
            <w:r>
              <w:rPr>
                <w:sz w:val="28"/>
                <w:szCs w:val="28"/>
                <w:highlight w:val="white"/>
              </w:rPr>
              <w:t xml:space="preserve">3460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******</w:t>
            </w:r>
            <w:r>
              <w:rPr>
                <w:sz w:val="28"/>
                <w:szCs w:val="28"/>
                <w:highlight w:val="white"/>
                <w:vertAlign w:val="superscript"/>
              </w:rPr>
            </w:r>
            <w:r>
              <w:rPr>
                <w:sz w:val="28"/>
                <w:szCs w:val="28"/>
                <w:highlight w:val="white"/>
                <w:vertAlign w:val="superscript"/>
              </w:rPr>
            </w:r>
          </w:p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Кукморский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«Милосердие» в </w:t>
            </w:r>
            <w:r>
              <w:rPr>
                <w:sz w:val="28"/>
                <w:szCs w:val="28"/>
                <w:highlight w:val="white"/>
              </w:rPr>
              <w:t xml:space="preserve">Кукморском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3 806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8 296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Лаишевский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 w:line="228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Лаишевском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12 110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1 952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1 038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Мамадышский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«Забота»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Мамадышском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6 100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«Забота» Министерства труда, занятости и социальной защиты Республики Татарстан в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Мамадышском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6 100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Мензелинский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</w:t>
            </w:r>
            <w:r>
              <w:rPr>
                <w:sz w:val="28"/>
                <w:szCs w:val="28"/>
                <w:highlight w:val="white"/>
              </w:rPr>
              <w:t xml:space="preserve">Умырзая</w:t>
            </w:r>
            <w:r>
              <w:rPr>
                <w:sz w:val="28"/>
                <w:szCs w:val="28"/>
                <w:highlight w:val="white"/>
              </w:rPr>
              <w:t xml:space="preserve">» в Мензелинском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5 536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5 124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 Набережные Челны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«Солнышко» в городском округе «город Набережные Челны»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5 190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8 540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732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732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322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</w:t>
            </w:r>
            <w:r>
              <w:rPr>
                <w:sz w:val="28"/>
                <w:szCs w:val="28"/>
                <w:highlight w:val="white"/>
              </w:rPr>
              <w:t xml:space="preserve">Изгелек</w:t>
            </w:r>
            <w:r>
              <w:rPr>
                <w:sz w:val="28"/>
                <w:szCs w:val="28"/>
                <w:highlight w:val="white"/>
              </w:rPr>
              <w:t xml:space="preserve">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4 152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9 028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346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pPr>
            <w:r>
              <w:rPr>
                <w:sz w:val="28"/>
                <w:szCs w:val="28"/>
                <w:highlight w:val="white"/>
              </w:rPr>
              <w:t xml:space="preserve">4 148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  <w:r>
              <w:rPr>
                <w:rFonts w:eastAsia="Calibri"/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«Доверие» Министерства труда, занятости и социальной защиты Республики Татарстан в городском округе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город Набережные Челны»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социальной реабилитации больных наркоманией ГАУСО «КЦСОН «Доверие» Министерства труда, занятости и социальной защиты Республики Татарстан в городском округе «город Набережные Челны»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2 000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right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Нижнекамский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«Милосердие» Министерства труда, занятости и социальной защиты Республики Татарстан в Нижнекамском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9 688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«Милосердие» Министерства труда, занятости и социальной защиты Республики Татарстан в Нижнекамском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3 000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Сармановский</w:t>
            </w:r>
            <w:r>
              <w:rPr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Социально-реабилитационное отделение ГАУСО «КЦСОН «</w:t>
            </w:r>
            <w:r>
              <w:rPr>
                <w:sz w:val="28"/>
                <w:szCs w:val="28"/>
                <w:highlight w:val="white"/>
              </w:rPr>
              <w:t xml:space="preserve">Шафкать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Сармановском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9 688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Отделение дневного пребывания ГАУСО «КЦСОН «</w:t>
            </w:r>
            <w:r>
              <w:rPr>
                <w:sz w:val="28"/>
                <w:szCs w:val="28"/>
                <w:highlight w:val="white"/>
              </w:rPr>
              <w:t xml:space="preserve">Шафкать</w:t>
            </w:r>
            <w:r>
              <w:rPr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</w:t>
            </w:r>
            <w:r>
              <w:rPr>
                <w:sz w:val="28"/>
                <w:szCs w:val="28"/>
                <w:highlight w:val="white"/>
              </w:rPr>
              <w:t xml:space="preserve">Сармановском</w:t>
            </w:r>
            <w:r>
              <w:rPr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4 880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Чистопольский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муниципальный район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дневного пребывания ГАУСО «КЦСОН «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Балкыш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» Министерства труда, занятости и социальной защиты Республики Татарстан в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Чистопольском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муниципальном районе»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5 000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shd w:val="clear" w:color="auto" w:fill="auto"/>
            <w:tcBorders/>
            <w:tcW w:w="226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Город Казань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«Центр реабилитации инвалидов «Восхождение»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12 800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9 760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  <w:t xml:space="preserve">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322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ГБУ «Реабилитационный центр для детей и подростков с ограниченными возможностями Министерства труда, занятости и социальной защиты Республики Татарстан «Апрель» в городском округе «город Казань»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17 080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7 076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7 076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29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2 440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</w:t>
            </w:r>
            <w:r>
              <w:rPr>
                <w:sz w:val="28"/>
                <w:szCs w:val="28"/>
                <w:highlight w:val="white"/>
                <w:vertAlign w:val="superscript"/>
              </w:rPr>
              <w:t xml:space="preserve">**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ГАУСО «Реабилитационный центр для детей и подростков с ограниченными возможностями «Солнечный» Министерства труда, занятости и социальной защиты Республики Татарстан»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23 668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 w:line="230" w:lineRule="auto"/>
              <w:ind w:right="-108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 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ГБУ «Республиканский центр социальной реабилитации слепых и слабовидящих»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36 600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 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150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«Отделение дневного пребывания ГАУСО «КЦСОН в городском округе «город Казань»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8 000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tcBorders/>
            <w:tcW w:w="2269" w:type="dxa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/>
            <w:tcW w:w="4961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Отделение социальной реабилитации больных наркоманией ГАУСО «КЦСОН в городском округе «город Казань»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44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70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2 000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auto" w:fill="auto"/>
            <w:tcBorders/>
            <w:tcW w:w="13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5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20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tcBorders/>
            <w:tcW w:w="1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-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rPr>
          <w:trHeight w:val="20"/>
        </w:trPr>
        <w:tc>
          <w:tcPr>
            <w:gridSpan w:val="8"/>
            <w:tcBorders/>
            <w:tcW w:w="16019" w:type="dxa"/>
            <w:textDirection w:val="lrTb"/>
            <w:noWrap w:val="false"/>
          </w:tcPr>
          <w:p>
            <w:pPr>
              <w:pBdr/>
              <w:spacing w:line="360" w:lineRule="auto"/>
              <w:ind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* Для получателей социальных услуг в рамках курса учебного (тренировочного) сопровождаемого проживания.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spacing w:line="360" w:lineRule="auto"/>
              <w:ind/>
              <w:jc w:val="both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</w:rPr>
              <w:t xml:space="preserve">** Для получателей социальных услуг отделений дневного пребывания.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1276"/>
              </w:tabs>
              <w:spacing w:line="360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*** Для получателей социальных услуг в отделении ранней помощи;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1276"/>
              </w:tabs>
              <w:spacing w:line="360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**** Для законных представителей получателя социальных услуг в отделении ранней помощи;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1276"/>
              </w:tabs>
              <w:spacing w:line="360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***** Для получателей социальных услуг краткосрочного предоставления услуг в отделении ранней помощи»;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pBdr/>
              <w:tabs>
                <w:tab w:val="left" w:leader="none" w:pos="1276"/>
              </w:tabs>
              <w:spacing w:line="360" w:lineRule="auto"/>
              <w:ind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****** </w:t>
            </w:r>
            <w:r>
              <w:rPr>
                <w:sz w:val="28"/>
                <w:szCs w:val="28"/>
                <w:highlight w:val="white"/>
              </w:rPr>
              <w:t xml:space="preserve">Для получателей 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социальных услуг о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тделени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й</w:t>
            </w:r>
            <w:r>
              <w:rPr>
                <w:rFonts w:eastAsia="Calibri"/>
                <w:sz w:val="28"/>
                <w:szCs w:val="28"/>
                <w:highlight w:val="white"/>
              </w:rPr>
              <w:t xml:space="preserve"> социальной реабилитации для лиц, выполнявших задачи в ходе специальной военной операции, в центрах реабилитации инвалидов.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Bdr/>
        <w:spacing/>
        <w:ind w:right="282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spacing/>
        <w:ind w:right="282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spacing/>
        <w:ind w:right="282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spacing/>
        <w:ind w:right="282"/>
        <w:jc w:val="center"/>
        <w:rPr>
          <w:b/>
          <w:sz w:val="28"/>
          <w:szCs w:val="28"/>
          <w:highlight w:val="white"/>
        </w:rPr>
        <w:sectPr>
          <w:footnotePr/>
          <w:endnotePr/>
          <w:type w:val="nextPage"/>
          <w:pgSz w:h="11906" w:orient="landscape" w:w="16838"/>
          <w:pgMar w:top="1418" w:right="678" w:bottom="567" w:left="1134" w:header="709" w:footer="294" w:gutter="0"/>
          <w:pgNumType w:start="1"/>
          <w:cols w:num="1" w:sep="0" w:space="708" w:equalWidth="1"/>
          <w:titlePg/>
        </w:sectPr>
      </w:pP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ПОЯСНИТЕЛЬНАЯ ЗАПИСКА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к проекту постановления Кабинета Министров Республики Татарстан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«Об утверждении нормативных затрат организаций социального обслуживания Республики Татарстан на 2026 год 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и на плановый период 2027 и 2028 годов»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Bdr/>
        <w:tabs>
          <w:tab w:val="left" w:leader="none" w:pos="180"/>
          <w:tab w:val="left" w:leader="none" w:pos="540"/>
        </w:tabs>
        <w:spacing/>
        <w:ind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 постановления Кабинета Министров Республики Татарстан «Об утверждении нормативных затрат организаций социального обслуживания Респу</w:t>
      </w:r>
      <w:r>
        <w:rPr>
          <w:sz w:val="28"/>
          <w:szCs w:val="28"/>
          <w:highlight w:val="white"/>
        </w:rPr>
        <w:t xml:space="preserve">блики Татарстан на 2026 год и на плановый период 2027 и 2028 годов» разработан в рамках реализации Плана работы Кабинета Министров Республики Татарстан на 2025 год, утвержденного распоряжением Кабинета Министров Республики Татарстан от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3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.12.202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4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№ </w:t>
      </w:r>
      <w:r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2996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-р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Проектом постановления на 2026 год и на плановый период 2027 и 2028 годов утверждаются: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затраты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</w:t>
      </w:r>
      <w:r>
        <w:rPr>
          <w:sz w:val="28"/>
          <w:szCs w:val="28"/>
          <w:highlight w:val="white"/>
        </w:rPr>
        <w:t xml:space="preserve">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затраты на оказание государственных услуг по предоставлению социального обслуживания в стационарной и полустационарной формах, включая оказа</w:t>
      </w:r>
      <w:r>
        <w:rPr>
          <w:sz w:val="28"/>
          <w:szCs w:val="28"/>
          <w:highlight w:val="white"/>
        </w:rPr>
        <w:t xml:space="preserve">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нормативные затраты на оказание государственных услуг центрами социальной помощи семье и детям, отделениями социальной помощи семье и детям, отделениями социального обслуживания на дому комплексных центров социального обслуживания населения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коэффициенты к нормативным затратам, непосредственно связанным с оказанием государственной услуги,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коэффициенты к иным затратам в составе нормативных затрат на общехозяйственные нужды, связанные с оказанием государственной услуги,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организаций социального обслуживания, </w:t>
      </w:r>
      <w:r>
        <w:rPr>
          <w:rFonts w:eastAsia="Calibri"/>
          <w:sz w:val="28"/>
          <w:szCs w:val="28"/>
          <w:highlight w:val="white"/>
        </w:rPr>
        <w:t xml:space="preserve">находящихся в ведении </w:t>
      </w:r>
      <w:r>
        <w:rPr>
          <w:sz w:val="28"/>
          <w:szCs w:val="28"/>
          <w:highlight w:val="white"/>
        </w:rPr>
        <w:t xml:space="preserve">Республики Татарстан, 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поправочные коэффициенты к иным затратам в составе нормативных затрат на оказание государственных услуг центрами социальной помощи семье и детям, отделениями социальной помощи семье</w:t>
      </w:r>
      <w:r>
        <w:rPr>
          <w:sz w:val="28"/>
          <w:szCs w:val="28"/>
          <w:highlight w:val="white"/>
        </w:rPr>
        <w:t xml:space="preserve"> и детям, отделениями социального обслуживания на дому комплексных центров социального обслуживания населения, осуществляющих свою деятельность на территории муниципальных образований (городских округов), 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Bdr/>
        <w:tabs>
          <w:tab w:val="left" w:leader="none" w:pos="284"/>
        </w:tabs>
        <w:spacing/>
        <w:ind w:right="28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</w:t>
      </w:r>
      <w:r>
        <w:rPr>
          <w:sz w:val="28"/>
          <w:szCs w:val="28"/>
          <w:highlight w:val="white"/>
        </w:rPr>
        <w:t xml:space="preserve">ство койко-дней и койко-мест в организациях социального обслуживания, находящихся в ведении Республики Татарстан со стационарной формой социального обслуживания, осуществляющих свою деятельность на территории муниципальных образований (городских округов), 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на 2026 год и на плановый период 2027 и 2028 годов;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величина </w:t>
      </w:r>
      <w:r>
        <w:rPr>
          <w:sz w:val="28"/>
          <w:szCs w:val="28"/>
          <w:highlight w:val="white"/>
        </w:rPr>
        <w:t xml:space="preserve">денежной компенсации на приобретение мягкого инвентаря и оборудования на одного социального работника организаций социального обслуживания, находящихся в ведении Республики Татарстан, </w:t>
      </w:r>
      <w:r>
        <w:rPr>
          <w:rFonts w:eastAsia="Calibri"/>
          <w:sz w:val="28"/>
          <w:szCs w:val="28"/>
          <w:highlight w:val="white"/>
        </w:rPr>
        <w:t xml:space="preserve">предоставляющих социальные услуги </w:t>
      </w:r>
      <w:r>
        <w:rPr>
          <w:sz w:val="28"/>
          <w:szCs w:val="28"/>
          <w:highlight w:val="white"/>
        </w:rPr>
        <w:t xml:space="preserve">в форме социального обслуживания на дому, на 2026 год и на плановый период 2027 и 2028 годов в размере 3 678 рублей в год.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Нормат</w:t>
      </w:r>
      <w:r>
        <w:rPr>
          <w:sz w:val="28"/>
          <w:szCs w:val="28"/>
          <w:highlight w:val="white"/>
        </w:rPr>
        <w:t xml:space="preserve">ивные затраты, непосредственно связанные с оказанием государственной услуги, и нормативные затраты на общехозяйственные нужды на оказание государственной услуги сформированы на основе постановления Кабинета Министров Республики Татарстан от 31.12.2009 № 91</w:t>
      </w:r>
      <w:r>
        <w:rPr>
          <w:sz w:val="28"/>
          <w:szCs w:val="28"/>
          <w:highlight w:val="white"/>
        </w:rPr>
        <w:t xml:space="preserve">5 «Об утверждении Положения о порядке расчета нормативов финансирования государственных услуг в области социального обслуживания населения Республики Татарстан» с применением индексов-дефляторов для формирования расходов бюджета на очередной финансовый год</w:t>
      </w:r>
      <w:r>
        <w:rPr>
          <w:rFonts w:ascii="Times New Roman" w:hAnsi="Times New Roman"/>
          <w:sz w:val="28"/>
          <w:szCs w:val="28"/>
          <w:highlight w:val="white"/>
        </w:rPr>
        <w:t xml:space="preserve"> (медикаменты, продукты питания– на 4,0 процента с января 2026-2028 годов, коммунальные расходы – на 10,2 процентов с июля 2026 года, </w:t>
      </w:r>
      <w:r>
        <w:rPr>
          <w:rFonts w:ascii="Times New Roman" w:hAnsi="Times New Roman"/>
          <w:sz w:val="28"/>
          <w:szCs w:val="28"/>
          <w:highlight w:val="white"/>
        </w:rPr>
        <w:t xml:space="preserve">на 7,7 процентов с июля 2027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, на 5,6 процентов с июля 2028 года</w:t>
      </w:r>
      <w:r>
        <w:rPr>
          <w:rFonts w:ascii="Times New Roman" w:hAnsi="Times New Roman"/>
          <w:sz w:val="28"/>
          <w:szCs w:val="28"/>
          <w:highlight w:val="white"/>
        </w:rPr>
        <w:t xml:space="preserve">, мягкий инвентарь и прочие расходы – на уровне 2025 года, фонд оплаты труда с учетом повышения минимального размера оплаты труд</w:t>
      </w:r>
      <w:r>
        <w:rPr>
          <w:rFonts w:ascii="Times New Roman" w:hAnsi="Times New Roman"/>
          <w:sz w:val="28"/>
          <w:szCs w:val="28"/>
          <w:highlight w:val="white"/>
        </w:rPr>
        <w:t xml:space="preserve">а).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>
        <w:rPr>
          <w:sz w:val="28"/>
          <w:szCs w:val="28"/>
          <w:highlight w:val="white"/>
        </w:rPr>
      </w:r>
      <w:r>
        <w:rPr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Средства на указанные цели предусмотрены в бюджете Республики Татарстан в полном объеме.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046"/>
        <w:pBdr/>
        <w:tabs>
          <w:tab w:val="left" w:leader="none" w:pos="284"/>
        </w:tabs>
        <w:spacing/>
        <w:ind w:right="282" w:firstLine="709"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sectPr>
      <w:headerReference w:type="default" r:id="rId11"/>
      <w:headerReference w:type="even" r:id="rId12"/>
      <w:footerReference w:type="even" r:id="rId15"/>
      <w:footerReference w:type="first" r:id="rId16"/>
      <w:footnotePr/>
      <w:endnotePr/>
      <w:type w:val="nextPage"/>
      <w:pgSz w:h="16838" w:orient="portrait" w:w="11906"/>
      <w:pgMar w:top="851" w:right="851" w:bottom="709" w:left="1134" w:header="709" w:footer="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contextualSpacing w:val="true"/>
      <w:jc w:val="righ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contextualSpacing w:val="true"/>
      <w:jc w:val="right"/>
      <w:rPr/>
    </w:pPr>
    <w:r/>
    <w:r/>
  </w:p>
  <w:p>
    <w:pPr>
      <w:pStyle w:val="1044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framePr w:hAnchor="margin" w:vAnchor="text" w:wrap="around" w:xAlign="right" w:y="1"/>
      <w:pBdr/>
      <w:spacing/>
      <w:ind/>
      <w:rPr>
        <w:rStyle w:val="1041"/>
      </w:rPr>
    </w:pPr>
    <w:r>
      <w:rPr>
        <w:rStyle w:val="1041"/>
      </w:rPr>
      <w:fldChar w:fldCharType="begin"/>
    </w:r>
    <w:r>
      <w:rPr>
        <w:rStyle w:val="1041"/>
      </w:rPr>
      <w:instrText xml:space="preserve">PAGE  </w:instrText>
    </w:r>
    <w:r>
      <w:rPr>
        <w:rStyle w:val="1041"/>
      </w:rPr>
      <w:fldChar w:fldCharType="end"/>
    </w:r>
    <w:r>
      <w:rPr>
        <w:rStyle w:val="1041"/>
      </w:rPr>
    </w:r>
    <w:r>
      <w:rPr>
        <w:rStyle w:val="1041"/>
      </w:rPr>
    </w:r>
  </w:p>
  <w:p>
    <w:pPr>
      <w:pStyle w:val="1044"/>
      <w:pBdr/>
      <w:spacing/>
      <w:ind w:right="360"/>
      <w:rPr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4"/>
      <w:pBdr/>
      <w:spacing/>
      <w:ind/>
      <w:contextualSpacing w:val="true"/>
      <w:jc w:val="right"/>
      <w:rPr>
        <w:sz w:val="20"/>
      </w:rPr>
    </w:pPr>
    <w:r>
      <w:rPr>
        <w:sz w:val="20"/>
      </w:rPr>
    </w:r>
    <w:r>
      <w:rPr>
        <w:sz w:val="20"/>
      </w:rPr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pBdr/>
      <w:spacing/>
      <w:ind w:firstLine="0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5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pBdr/>
      <w:spacing/>
      <w:ind/>
      <w:jc w:val="center"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framePr w:hAnchor="margin" w:vAnchor="text" w:wrap="around" w:xAlign="center" w:y="1"/>
      <w:pBdr/>
      <w:spacing/>
      <w:ind/>
      <w:rPr>
        <w:rStyle w:val="1041"/>
      </w:rPr>
    </w:pPr>
    <w:r>
      <w:rPr>
        <w:rStyle w:val="1041"/>
      </w:rPr>
      <w:fldChar w:fldCharType="begin"/>
    </w:r>
    <w:r>
      <w:rPr>
        <w:rStyle w:val="1041"/>
      </w:rPr>
      <w:instrText xml:space="preserve">PAGE  </w:instrText>
    </w:r>
    <w:r>
      <w:rPr>
        <w:rStyle w:val="1041"/>
      </w:rPr>
      <w:fldChar w:fldCharType="separate"/>
    </w:r>
    <w:r>
      <w:rPr>
        <w:rStyle w:val="1041"/>
      </w:rPr>
      <w:t xml:space="preserve">2</w:t>
    </w:r>
    <w:r>
      <w:rPr>
        <w:rStyle w:val="1041"/>
      </w:rPr>
      <w:fldChar w:fldCharType="end"/>
    </w:r>
    <w:r>
      <w:rPr>
        <w:rStyle w:val="1041"/>
      </w:rPr>
    </w:r>
    <w:r>
      <w:rPr>
        <w:rStyle w:val="1041"/>
      </w:rPr>
    </w:r>
  </w:p>
  <w:p>
    <w:pPr>
      <w:pStyle w:val="1042"/>
      <w:pBdr/>
      <w:spacing/>
      <w:ind/>
      <w:rPr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42"/>
      <w:framePr w:hAnchor="margin" w:vAnchor="text" w:wrap="around" w:xAlign="center" w:y="1"/>
      <w:pBdr/>
      <w:spacing/>
      <w:ind/>
      <w:rPr>
        <w:rStyle w:val="1041"/>
      </w:rPr>
    </w:pPr>
    <w:r>
      <w:rPr>
        <w:rStyle w:val="1041"/>
      </w:rPr>
      <w:fldChar w:fldCharType="begin"/>
    </w:r>
    <w:r>
      <w:rPr>
        <w:rStyle w:val="1041"/>
      </w:rPr>
      <w:instrText xml:space="preserve">PAGE  </w:instrText>
    </w:r>
    <w:r>
      <w:rPr>
        <w:rStyle w:val="1041"/>
      </w:rPr>
      <w:fldChar w:fldCharType="end"/>
    </w:r>
    <w:r>
      <w:rPr>
        <w:rStyle w:val="1041"/>
      </w:rPr>
    </w:r>
    <w:r>
      <w:rPr>
        <w:rStyle w:val="1041"/>
      </w:rPr>
    </w:r>
  </w:p>
  <w:p>
    <w:pPr>
      <w:pStyle w:val="1042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906"/>
        </w:tabs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338"/>
        </w:tabs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504" w:left="504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  <w:color w:va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1080" w:left="2520"/>
      </w:pPr>
      <w:rPr>
        <w:rFonts w:hint="default"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440" w:left="36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800" w:left="432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800" w:left="468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2160" w:left="5400"/>
      </w:pPr>
      <w:rPr>
        <w:rFonts w:hint="default"/>
      </w:rPr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2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3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4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5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6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7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  <w:lvl w:ilvl="8">
      <w:isLgl w:val="false"/>
      <w:lvlJc w:val="left"/>
      <w:lvlText w:val=""/>
      <w:numFmt w:val="none"/>
      <w:pPr>
        <w:pBdr/>
        <w:tabs>
          <w:tab w:val="num" w:leader="none" w:pos="-622"/>
        </w:tabs>
        <w:spacing/>
        <w:ind/>
      </w:pPr>
      <w:rPr/>
      <w:start w:val="0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149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55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26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1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0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5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48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upperRoman"/>
      <w:pPr>
        <w:pBdr/>
        <w:spacing/>
        <w:ind w:hanging="720" w:left="185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15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35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655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75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95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15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35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255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450" w:left="45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6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6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50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12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84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920"/>
      </w:pPr>
      <w:rPr>
        <w:rFonts w:hint="default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sz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146"/>
      </w:pPr>
      <w:rPr>
        <w:rFonts w:hint="default"/>
        <w:color w:val="auto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700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240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14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5040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5580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6480"/>
      </w:pPr>
      <w:rPr>
        <w:rFonts w:hint="default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525" w:left="525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29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2138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3207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3916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5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54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63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32"/>
      </w:pPr>
      <w:rPr>
        <w:rFonts w:hint="default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15"/>
  </w:num>
  <w:num w:numId="7">
    <w:abstractNumId w:val="12"/>
  </w:num>
  <w:num w:numId="8">
    <w:abstractNumId w:val="10"/>
  </w:num>
  <w:num w:numId="9">
    <w:abstractNumId w:val="4"/>
  </w:num>
  <w:num w:numId="10">
    <w:abstractNumId w:val="17"/>
  </w:num>
  <w:num w:numId="11">
    <w:abstractNumId w:val="14"/>
  </w:num>
  <w:num w:numId="12">
    <w:abstractNumId w:val="9"/>
  </w:num>
  <w:num w:numId="13">
    <w:abstractNumId w:val="3"/>
  </w:num>
  <w:num w:numId="14">
    <w:abstractNumId w:val="16"/>
  </w:num>
  <w:num w:numId="15">
    <w:abstractNumId w:val="13"/>
  </w:num>
  <w:num w:numId="16">
    <w:abstractNumId w:val="8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53">
    <w:name w:val="Table Grid Light"/>
    <w:basedOn w:val="10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1"/>
    <w:basedOn w:val="10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2"/>
    <w:basedOn w:val="10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Plain Table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1 Light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1 Light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1 Light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1 Light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1 Light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1 Light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1 Light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2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2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2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2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2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2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3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3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3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3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3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3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4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4 - Accent 1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4 - Accent 2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4 - Accent 3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4 - Accent 4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4 - Accent 5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4 - Accent 6"/>
    <w:basedOn w:val="10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5 Dark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5 Dark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5 Dark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5 Dark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5 Dark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5 Dark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5 Dark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6 Colorful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6 Colorful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6 Colorful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6 Colorful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6 Colorful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6 Colorful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6 Colorful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7 Colorful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7 Colorful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7 Colorful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7 Colorful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7 Colorful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7 Colorful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7 Colorful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1 Light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1 Light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1 Light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1 Light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1 Light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1 Light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1 Light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2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2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2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2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2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2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3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3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3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3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3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3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4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4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4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4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4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4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5 Dark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5 Dark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5 Dark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5 Dark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5 Dark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5 Dark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5 Dark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6 Colorful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6 Colorful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6 Colorful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6 Colorful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6 Colorful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6 Colorful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6 Colorful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7 Colorful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7 Colorful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7 Colorful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7 Colorful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7 Colorful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7 Colorful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7 Colorful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ned - Accent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ned - Accent 1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ned - Accent 2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ned - Accent 3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ned - Accent 4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ned - Accent 5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ned - Accent 6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&amp; Lined - Accent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&amp; Lined - Accent 1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Bordered &amp; Lined - Accent 2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Bordered &amp; Lined - Accent 3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Bordered &amp; Lined - Accent 4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Bordered &amp; Lined - Accent 5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Bordered &amp; Lined - Accent 6"/>
    <w:basedOn w:val="10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Bordered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- Accent 1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- Accent 2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- Accent 3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- Accent 4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- Accent 5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- Accent 6"/>
    <w:basedOn w:val="10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78">
    <w:name w:val="Heading 1"/>
    <w:basedOn w:val="1035"/>
    <w:next w:val="1035"/>
    <w:link w:val="98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79">
    <w:name w:val="Heading 2"/>
    <w:basedOn w:val="1035"/>
    <w:next w:val="1035"/>
    <w:link w:val="98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0">
    <w:name w:val="Heading 3"/>
    <w:basedOn w:val="1035"/>
    <w:next w:val="1035"/>
    <w:link w:val="98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1">
    <w:name w:val="Heading 4"/>
    <w:basedOn w:val="1035"/>
    <w:next w:val="1035"/>
    <w:link w:val="99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82">
    <w:name w:val="Heading 5"/>
    <w:basedOn w:val="1035"/>
    <w:next w:val="1035"/>
    <w:link w:val="99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83">
    <w:name w:val="Heading 6"/>
    <w:basedOn w:val="1035"/>
    <w:next w:val="1035"/>
    <w:link w:val="99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84">
    <w:name w:val="Heading 7"/>
    <w:basedOn w:val="1035"/>
    <w:next w:val="1035"/>
    <w:link w:val="99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85">
    <w:name w:val="Heading 8"/>
    <w:basedOn w:val="1035"/>
    <w:next w:val="1035"/>
    <w:link w:val="99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86">
    <w:name w:val="Heading 9"/>
    <w:basedOn w:val="1035"/>
    <w:next w:val="1035"/>
    <w:link w:val="99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87">
    <w:name w:val="Heading 1 Char"/>
    <w:basedOn w:val="1036"/>
    <w:link w:val="97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88">
    <w:name w:val="Heading 2 Char"/>
    <w:basedOn w:val="1036"/>
    <w:link w:val="97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89">
    <w:name w:val="Heading 3 Char"/>
    <w:basedOn w:val="1036"/>
    <w:link w:val="9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90">
    <w:name w:val="Heading 4 Char"/>
    <w:basedOn w:val="1036"/>
    <w:link w:val="98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91">
    <w:name w:val="Heading 5 Char"/>
    <w:basedOn w:val="1036"/>
    <w:link w:val="9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92">
    <w:name w:val="Heading 6 Char"/>
    <w:basedOn w:val="1036"/>
    <w:link w:val="98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93">
    <w:name w:val="Heading 7 Char"/>
    <w:basedOn w:val="1036"/>
    <w:link w:val="98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94">
    <w:name w:val="Heading 8 Char"/>
    <w:basedOn w:val="1036"/>
    <w:link w:val="98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95">
    <w:name w:val="Heading 9 Char"/>
    <w:basedOn w:val="1036"/>
    <w:link w:val="98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96">
    <w:name w:val="Title"/>
    <w:basedOn w:val="1035"/>
    <w:next w:val="1035"/>
    <w:link w:val="99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97">
    <w:name w:val="Title Char"/>
    <w:basedOn w:val="1036"/>
    <w:link w:val="99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98">
    <w:name w:val="Subtitle"/>
    <w:basedOn w:val="1035"/>
    <w:next w:val="1035"/>
    <w:link w:val="99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99">
    <w:name w:val="Subtitle Char"/>
    <w:basedOn w:val="1036"/>
    <w:link w:val="99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00">
    <w:name w:val="Quote"/>
    <w:basedOn w:val="1035"/>
    <w:next w:val="1035"/>
    <w:link w:val="100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01">
    <w:name w:val="Quote Char"/>
    <w:basedOn w:val="1036"/>
    <w:link w:val="100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02">
    <w:name w:val="Intense Emphasis"/>
    <w:basedOn w:val="10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03">
    <w:name w:val="Intense Quote"/>
    <w:basedOn w:val="1035"/>
    <w:next w:val="1035"/>
    <w:link w:val="100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04">
    <w:name w:val="Intense Quote Char"/>
    <w:basedOn w:val="1036"/>
    <w:link w:val="100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05">
    <w:name w:val="Intense Reference"/>
    <w:basedOn w:val="10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06">
    <w:name w:val="No Spacing"/>
    <w:basedOn w:val="1035"/>
    <w:uiPriority w:val="1"/>
    <w:qFormat/>
    <w:pPr>
      <w:pBdr/>
      <w:spacing w:after="0" w:line="240" w:lineRule="auto"/>
      <w:ind/>
    </w:pPr>
  </w:style>
  <w:style w:type="character" w:styleId="1007">
    <w:name w:val="Subtle Emphasis"/>
    <w:basedOn w:val="10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08">
    <w:name w:val="Emphasis"/>
    <w:basedOn w:val="1036"/>
    <w:uiPriority w:val="20"/>
    <w:qFormat/>
    <w:pPr>
      <w:pBdr/>
      <w:spacing/>
      <w:ind/>
    </w:pPr>
    <w:rPr>
      <w:i/>
      <w:iCs/>
    </w:rPr>
  </w:style>
  <w:style w:type="character" w:styleId="1009">
    <w:name w:val="Strong"/>
    <w:basedOn w:val="1036"/>
    <w:uiPriority w:val="22"/>
    <w:qFormat/>
    <w:pPr>
      <w:pBdr/>
      <w:spacing/>
      <w:ind/>
    </w:pPr>
    <w:rPr>
      <w:b/>
      <w:bCs/>
    </w:rPr>
  </w:style>
  <w:style w:type="character" w:styleId="1010">
    <w:name w:val="Subtle Reference"/>
    <w:basedOn w:val="10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11">
    <w:name w:val="Book Title"/>
    <w:basedOn w:val="103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12">
    <w:name w:val="Header Char"/>
    <w:basedOn w:val="1036"/>
    <w:link w:val="1042"/>
    <w:uiPriority w:val="99"/>
    <w:pPr>
      <w:pBdr/>
      <w:spacing/>
      <w:ind/>
    </w:pPr>
  </w:style>
  <w:style w:type="character" w:styleId="1013">
    <w:name w:val="Footer Char"/>
    <w:basedOn w:val="1036"/>
    <w:link w:val="1044"/>
    <w:uiPriority w:val="99"/>
    <w:pPr>
      <w:pBdr/>
      <w:spacing/>
      <w:ind/>
    </w:pPr>
  </w:style>
  <w:style w:type="paragraph" w:styleId="1014">
    <w:name w:val="Caption"/>
    <w:basedOn w:val="1035"/>
    <w:next w:val="103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15">
    <w:name w:val="footnote text"/>
    <w:basedOn w:val="1035"/>
    <w:link w:val="10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6">
    <w:name w:val="Footnote Text Char"/>
    <w:basedOn w:val="1036"/>
    <w:link w:val="1015"/>
    <w:uiPriority w:val="99"/>
    <w:semiHidden/>
    <w:pPr>
      <w:pBdr/>
      <w:spacing/>
      <w:ind/>
    </w:pPr>
    <w:rPr>
      <w:sz w:val="20"/>
      <w:szCs w:val="20"/>
    </w:rPr>
  </w:style>
  <w:style w:type="character" w:styleId="1017">
    <w:name w:val="footnote reference"/>
    <w:basedOn w:val="1036"/>
    <w:uiPriority w:val="99"/>
    <w:semiHidden/>
    <w:unhideWhenUsed/>
    <w:pPr>
      <w:pBdr/>
      <w:spacing/>
      <w:ind/>
    </w:pPr>
    <w:rPr>
      <w:vertAlign w:val="superscript"/>
    </w:rPr>
  </w:style>
  <w:style w:type="paragraph" w:styleId="1018">
    <w:name w:val="endnote text"/>
    <w:basedOn w:val="1035"/>
    <w:link w:val="10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19">
    <w:name w:val="Endnote Text Char"/>
    <w:basedOn w:val="1036"/>
    <w:link w:val="1018"/>
    <w:uiPriority w:val="99"/>
    <w:semiHidden/>
    <w:pPr>
      <w:pBdr/>
      <w:spacing/>
      <w:ind/>
    </w:pPr>
    <w:rPr>
      <w:sz w:val="20"/>
      <w:szCs w:val="20"/>
    </w:rPr>
  </w:style>
  <w:style w:type="character" w:styleId="1020">
    <w:name w:val="endnote reference"/>
    <w:basedOn w:val="1036"/>
    <w:uiPriority w:val="99"/>
    <w:semiHidden/>
    <w:unhideWhenUsed/>
    <w:pPr>
      <w:pBdr/>
      <w:spacing/>
      <w:ind/>
    </w:pPr>
    <w:rPr>
      <w:vertAlign w:val="superscript"/>
    </w:rPr>
  </w:style>
  <w:style w:type="character" w:styleId="1021">
    <w:name w:val="Hyperlink"/>
    <w:basedOn w:val="10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22">
    <w:name w:val="FollowedHyperlink"/>
    <w:basedOn w:val="10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23">
    <w:name w:val="toc 1"/>
    <w:basedOn w:val="1035"/>
    <w:next w:val="1035"/>
    <w:uiPriority w:val="39"/>
    <w:unhideWhenUsed/>
    <w:pPr>
      <w:pBdr/>
      <w:spacing w:after="100"/>
      <w:ind/>
    </w:pPr>
  </w:style>
  <w:style w:type="paragraph" w:styleId="1024">
    <w:name w:val="toc 2"/>
    <w:basedOn w:val="1035"/>
    <w:next w:val="1035"/>
    <w:uiPriority w:val="39"/>
    <w:unhideWhenUsed/>
    <w:pPr>
      <w:pBdr/>
      <w:spacing w:after="100"/>
      <w:ind w:left="220"/>
    </w:pPr>
  </w:style>
  <w:style w:type="paragraph" w:styleId="1025">
    <w:name w:val="toc 3"/>
    <w:basedOn w:val="1035"/>
    <w:next w:val="1035"/>
    <w:uiPriority w:val="39"/>
    <w:unhideWhenUsed/>
    <w:pPr>
      <w:pBdr/>
      <w:spacing w:after="100"/>
      <w:ind w:left="440"/>
    </w:pPr>
  </w:style>
  <w:style w:type="paragraph" w:styleId="1026">
    <w:name w:val="toc 4"/>
    <w:basedOn w:val="1035"/>
    <w:next w:val="1035"/>
    <w:uiPriority w:val="39"/>
    <w:unhideWhenUsed/>
    <w:pPr>
      <w:pBdr/>
      <w:spacing w:after="100"/>
      <w:ind w:left="660"/>
    </w:pPr>
  </w:style>
  <w:style w:type="paragraph" w:styleId="1027">
    <w:name w:val="toc 5"/>
    <w:basedOn w:val="1035"/>
    <w:next w:val="1035"/>
    <w:uiPriority w:val="39"/>
    <w:unhideWhenUsed/>
    <w:pPr>
      <w:pBdr/>
      <w:spacing w:after="100"/>
      <w:ind w:left="880"/>
    </w:pPr>
  </w:style>
  <w:style w:type="paragraph" w:styleId="1028">
    <w:name w:val="toc 6"/>
    <w:basedOn w:val="1035"/>
    <w:next w:val="1035"/>
    <w:uiPriority w:val="39"/>
    <w:unhideWhenUsed/>
    <w:pPr>
      <w:pBdr/>
      <w:spacing w:after="100"/>
      <w:ind w:left="1100"/>
    </w:pPr>
  </w:style>
  <w:style w:type="paragraph" w:styleId="1029">
    <w:name w:val="toc 7"/>
    <w:basedOn w:val="1035"/>
    <w:next w:val="1035"/>
    <w:uiPriority w:val="39"/>
    <w:unhideWhenUsed/>
    <w:pPr>
      <w:pBdr/>
      <w:spacing w:after="100"/>
      <w:ind w:left="1320"/>
    </w:pPr>
  </w:style>
  <w:style w:type="paragraph" w:styleId="1030">
    <w:name w:val="toc 8"/>
    <w:basedOn w:val="1035"/>
    <w:next w:val="1035"/>
    <w:uiPriority w:val="39"/>
    <w:unhideWhenUsed/>
    <w:pPr>
      <w:pBdr/>
      <w:spacing w:after="100"/>
      <w:ind w:left="1540"/>
    </w:pPr>
  </w:style>
  <w:style w:type="paragraph" w:styleId="1031">
    <w:name w:val="toc 9"/>
    <w:basedOn w:val="1035"/>
    <w:next w:val="1035"/>
    <w:uiPriority w:val="39"/>
    <w:unhideWhenUsed/>
    <w:pPr>
      <w:pBdr/>
      <w:spacing w:after="100"/>
      <w:ind w:left="1760"/>
    </w:pPr>
  </w:style>
  <w:style w:type="character" w:styleId="1032">
    <w:name w:val="Placeholder Text"/>
    <w:basedOn w:val="1036"/>
    <w:uiPriority w:val="99"/>
    <w:semiHidden/>
    <w:pPr>
      <w:pBdr/>
      <w:spacing/>
      <w:ind/>
    </w:pPr>
    <w:rPr>
      <w:color w:val="666666"/>
    </w:rPr>
  </w:style>
  <w:style w:type="paragraph" w:styleId="1033">
    <w:name w:val="TOC Heading"/>
    <w:uiPriority w:val="39"/>
    <w:unhideWhenUsed/>
    <w:pPr>
      <w:pBdr/>
      <w:spacing/>
      <w:ind/>
    </w:pPr>
  </w:style>
  <w:style w:type="paragraph" w:styleId="1034">
    <w:name w:val="table of figures"/>
    <w:basedOn w:val="1035"/>
    <w:next w:val="1035"/>
    <w:uiPriority w:val="99"/>
    <w:unhideWhenUsed/>
    <w:pPr>
      <w:pBdr/>
      <w:spacing w:after="0" w:afterAutospacing="0"/>
      <w:ind/>
    </w:pPr>
  </w:style>
  <w:style w:type="paragraph" w:styleId="1035" w:default="1">
    <w:name w:val="Normal"/>
    <w:qFormat/>
    <w:pPr>
      <w:pBdr/>
      <w:spacing/>
      <w:ind/>
    </w:pPr>
    <w:rPr>
      <w:rFonts w:ascii="Times New Roman" w:hAnsi="Times New Roman" w:eastAsia="Times New Roman"/>
      <w:sz w:val="24"/>
      <w:szCs w:val="24"/>
    </w:rPr>
  </w:style>
  <w:style w:type="character" w:styleId="1036" w:default="1">
    <w:name w:val="Default Paragraph Font"/>
    <w:uiPriority w:val="1"/>
    <w:semiHidden/>
    <w:unhideWhenUsed/>
    <w:pPr>
      <w:pBdr/>
      <w:spacing/>
      <w:ind/>
    </w:pPr>
  </w:style>
  <w:style w:type="table" w:styleId="103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38" w:default="1">
    <w:name w:val="No List"/>
    <w:uiPriority w:val="99"/>
    <w:semiHidden/>
    <w:unhideWhenUsed/>
    <w:pPr>
      <w:pBdr/>
      <w:spacing/>
      <w:ind/>
    </w:pPr>
  </w:style>
  <w:style w:type="paragraph" w:styleId="1039" w:customStyle="1">
    <w:name w:val="ConsPlusTitle"/>
    <w:uiPriority w:val="99"/>
    <w:pPr>
      <w:pBdr/>
      <w:spacing/>
      <w:ind/>
    </w:pPr>
    <w:rPr>
      <w:rFonts w:ascii="Times New Roman" w:hAnsi="Times New Roman" w:eastAsia="Times New Roman"/>
      <w:b/>
      <w:bCs/>
      <w:sz w:val="28"/>
      <w:szCs w:val="28"/>
    </w:rPr>
  </w:style>
  <w:style w:type="paragraph" w:styleId="1040" w:customStyle="1">
    <w:name w:val="ConsPlusCell"/>
    <w:pPr>
      <w:pBdr/>
      <w:spacing/>
      <w:ind/>
    </w:pPr>
    <w:rPr>
      <w:rFonts w:ascii="Arial" w:hAnsi="Arial" w:eastAsia="Times New Roman" w:cs="Arial"/>
    </w:rPr>
  </w:style>
  <w:style w:type="character" w:styleId="1041">
    <w:name w:val="page number"/>
    <w:basedOn w:val="1036"/>
    <w:pPr>
      <w:pBdr/>
      <w:spacing/>
      <w:ind/>
    </w:pPr>
  </w:style>
  <w:style w:type="paragraph" w:styleId="1042">
    <w:name w:val="Header"/>
    <w:basedOn w:val="1035"/>
    <w:link w:val="1043"/>
    <w:pPr>
      <w:widowControl w:val="false"/>
      <w:pBdr/>
      <w:tabs>
        <w:tab w:val="center" w:leader="none" w:pos="4153"/>
        <w:tab w:val="right" w:leader="none" w:pos="8306"/>
      </w:tabs>
      <w:spacing w:before="60" w:line="360" w:lineRule="auto"/>
      <w:ind w:firstLine="709"/>
      <w:jc w:val="both"/>
    </w:pPr>
    <w:rPr>
      <w:sz w:val="28"/>
      <w:szCs w:val="20"/>
    </w:rPr>
  </w:style>
  <w:style w:type="character" w:styleId="1043" w:customStyle="1">
    <w:name w:val="Верхний колонтитул Знак"/>
    <w:link w:val="1042"/>
    <w:uiPriority w:val="99"/>
    <w:pPr>
      <w:pBdr/>
      <w:spacing/>
      <w:ind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044">
    <w:name w:val="Footer"/>
    <w:basedOn w:val="1035"/>
    <w:link w:val="1045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1045" w:customStyle="1">
    <w:name w:val="Нижний колонтитул Знак"/>
    <w:link w:val="1044"/>
    <w:uiPriority w:val="99"/>
    <w:pPr>
      <w:pBdr/>
      <w:spacing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46">
    <w:name w:val="List Paragraph"/>
    <w:basedOn w:val="1035"/>
    <w:uiPriority w:val="34"/>
    <w:qFormat/>
    <w:pPr>
      <w:pBdr/>
      <w:spacing/>
      <w:ind w:left="720"/>
      <w:contextualSpacing w:val="true"/>
    </w:pPr>
  </w:style>
  <w:style w:type="paragraph" w:styleId="1047" w:customStyle="1">
    <w:name w:val="Знак Знак Знак Знак Знак Знак Знак Знак Знак Знак"/>
    <w:basedOn w:val="1035"/>
    <w:pPr>
      <w:pBdr/>
      <w:spacing w:after="100" w:afterAutospacing="1" w:before="100" w:beforeAutospacing="1"/>
      <w:ind/>
    </w:pPr>
    <w:rPr>
      <w:rFonts w:ascii="Tahoma" w:hAnsi="Tahoma" w:cs="Tahoma"/>
      <w:sz w:val="20"/>
      <w:szCs w:val="20"/>
      <w:lang w:val="en-US" w:eastAsia="en-US"/>
    </w:rPr>
  </w:style>
  <w:style w:type="table" w:styleId="1048">
    <w:name w:val="Table Grid"/>
    <w:basedOn w:val="1037"/>
    <w:pPr>
      <w:pBdr/>
      <w:spacing/>
      <w:ind/>
    </w:pPr>
    <w:rPr>
      <w:rFonts w:ascii="Times New Roman" w:hAnsi="Times New Roman"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49">
    <w:name w:val="Balloon Text"/>
    <w:basedOn w:val="1035"/>
    <w:link w:val="1050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50" w:customStyle="1">
    <w:name w:val="Текст выноски Знак"/>
    <w:link w:val="1049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/>
    </w:rPr>
  </w:style>
  <w:style w:type="paragraph" w:styleId="1051" w:customStyle="1">
    <w:name w:val="ConsPlusNormal"/>
    <w:pPr>
      <w:widowControl w:val="false"/>
      <w:pBdr/>
      <w:spacing/>
      <w:ind/>
    </w:pPr>
    <w:rPr>
      <w:rFonts w:ascii="Arial" w:hAnsi="Arial" w:eastAsia="Times New Roman" w:cs="Arial"/>
    </w:rPr>
  </w:style>
  <w:style w:type="paragraph" w:styleId="1052" w:customStyle="1">
    <w:name w:val="Подписание"/>
    <w:basedOn w:val="1035"/>
    <w:pPr>
      <w:widowControl w:val="false"/>
      <w:pBdr/>
      <w:spacing/>
      <w:ind w:firstLine="709"/>
      <w:jc w:val="both"/>
    </w:pPr>
    <w:rPr>
      <w:sz w:val="28"/>
      <w:szCs w:val="20"/>
    </w:rPr>
  </w:style>
  <w:style w:type="paragraph" w:styleId="1053">
    <w:name w:val="Normal (Web)"/>
    <w:basedOn w:val="1035"/>
    <w:uiPriority w:val="99"/>
    <w:semiHidden/>
    <w:unhideWhenUsed/>
    <w:pPr>
      <w:pBdr/>
      <w:spacing w:after="100" w:afterAutospacing="1" w:before="100" w:beforeAutospacing="1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footer" Target="footer3.xml" /><Relationship Id="rId16" Type="http://schemas.openxmlformats.org/officeDocument/2006/relationships/footer" Target="footer4.xml" /><Relationship Id="rId17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F5399-2E32-418E-AF41-D1DD91D04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cp:revision>55</cp:revision>
  <dcterms:created xsi:type="dcterms:W3CDTF">2024-09-02T06:31:00Z</dcterms:created>
  <dcterms:modified xsi:type="dcterms:W3CDTF">2025-08-28T14:05:08Z</dcterms:modified>
</cp:coreProperties>
</file>