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/>
        <w:ind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</w:t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КАБИНЕТ МИНИСТРОВ РЕСПУБЛИКИ ТАТАРСТАН</w:t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</w:t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г. Казань</w:t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«___» _______ 20</w:t>
      </w:r>
      <w:r>
        <w:rPr>
          <w:rFonts w:ascii="Times New Roman" w:hAnsi="Times New Roman"/>
          <w:sz w:val="28"/>
          <w:szCs w:val="28"/>
        </w:rPr>
        <w:t xml:space="preserve">2</w:t>
      </w:r>
      <w:r>
        <w:rPr>
          <w:rFonts w:ascii="Times New Roman" w:hAnsi="Times New Roman"/>
          <w:sz w:val="28"/>
          <w:szCs w:val="28"/>
        </w:rPr>
        <w:t xml:space="preserve">5</w:t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№ ___</w:t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tabs>
          <w:tab w:val="left" w:leader="none" w:pos="3402"/>
        </w:tabs>
        <w:spacing w:after="0" w:line="264" w:lineRule="auto"/>
        <w:ind w:right="53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утверждении норматив</w:t>
      </w:r>
      <w:r>
        <w:rPr>
          <w:rFonts w:ascii="Times New Roman" w:hAnsi="Times New Roman"/>
          <w:sz w:val="28"/>
          <w:szCs w:val="28"/>
        </w:rPr>
        <w:t xml:space="preserve">ных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затрат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государственн</w:t>
      </w:r>
      <w:r>
        <w:rPr>
          <w:rFonts w:ascii="Times New Roman" w:hAnsi="Times New Roman"/>
          <w:sz w:val="28"/>
          <w:szCs w:val="28"/>
        </w:rPr>
        <w:t xml:space="preserve">ого</w:t>
      </w:r>
      <w:r>
        <w:rPr>
          <w:rFonts w:ascii="Times New Roman" w:hAnsi="Times New Roman"/>
          <w:sz w:val="28"/>
          <w:szCs w:val="28"/>
        </w:rPr>
        <w:t xml:space="preserve"> бюджетн</w:t>
      </w:r>
      <w:r>
        <w:rPr>
          <w:rFonts w:ascii="Times New Roman" w:hAnsi="Times New Roman"/>
          <w:sz w:val="28"/>
          <w:szCs w:val="28"/>
        </w:rPr>
        <w:t xml:space="preserve">ого</w:t>
      </w:r>
      <w:r>
        <w:rPr>
          <w:rFonts w:ascii="Times New Roman" w:hAnsi="Times New Roman"/>
          <w:sz w:val="28"/>
          <w:szCs w:val="28"/>
        </w:rPr>
        <w:t xml:space="preserve"> учреждени</w:t>
      </w:r>
      <w:r>
        <w:rPr>
          <w:rFonts w:ascii="Times New Roman" w:hAnsi="Times New Roman"/>
          <w:sz w:val="28"/>
          <w:szCs w:val="28"/>
        </w:rPr>
        <w:t xml:space="preserve">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Республики Татарстан</w:t>
      </w:r>
      <w:r>
        <w:rPr>
          <w:rFonts w:ascii="Times New Roman" w:hAnsi="Times New Roman"/>
          <w:sz w:val="28"/>
          <w:szCs w:val="28"/>
        </w:rPr>
        <w:t xml:space="preserve"> «Государственный архив Республики Татарстан»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2026 год и на плановый период 2027 и 2028 годов</w:t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right="425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right="425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Кабинет Министров Республики Татарстан ПОСТАНОВЛЯЕТ:</w:t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numPr>
          <w:ilvl w:val="0"/>
          <w:numId w:val="17"/>
        </w:numPr>
        <w:pBdr/>
        <w:tabs>
          <w:tab w:val="left" w:leader="none" w:pos="1276"/>
        </w:tabs>
        <w:spacing w:after="0" w:line="264" w:lineRule="auto"/>
        <w:ind w:firstLine="0" w:left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Утвердить прилагаемые:</w:t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Bdr/>
        <w:spacing w:after="0" w:line="264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нормативные затраты и объемы </w:t>
      </w:r>
      <w:r>
        <w:rPr>
          <w:rFonts w:ascii="Times New Roman" w:hAnsi="Times New Roman"/>
          <w:sz w:val="28"/>
          <w:szCs w:val="28"/>
          <w:lang w:eastAsia="ru-RU"/>
        </w:rPr>
        <w:t xml:space="preserve">предоставле</w:t>
      </w:r>
      <w:r>
        <w:rPr>
          <w:rFonts w:ascii="Times New Roman" w:hAnsi="Times New Roman"/>
          <w:sz w:val="28"/>
          <w:szCs w:val="28"/>
          <w:lang w:eastAsia="ru-RU"/>
        </w:rPr>
        <w:t xml:space="preserve">ния государственных услуг государственным бюджетным </w:t>
      </w:r>
      <w:r>
        <w:rPr>
          <w:rFonts w:ascii="Times New Roman" w:hAnsi="Times New Roman"/>
          <w:sz w:val="28"/>
          <w:szCs w:val="28"/>
          <w:lang w:eastAsia="ru-RU"/>
        </w:rPr>
        <w:t xml:space="preserve">учреждением Республики Татарстан «Государственный архив Республики Татарстан»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2026 год и на плановый период 2027 и 2028 годов</w:t>
      </w:r>
      <w:r>
        <w:rPr>
          <w:rFonts w:ascii="Times New Roman" w:hAnsi="Times New Roman"/>
          <w:sz w:val="28"/>
          <w:szCs w:val="28"/>
          <w:lang w:eastAsia="ru-RU"/>
        </w:rPr>
        <w:t xml:space="preserve">;</w:t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Bdr/>
        <w:spacing w:after="0" w:line="264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нормативные затраты на выполнение государственных работ государственным </w:t>
      </w:r>
      <w:r>
        <w:rPr>
          <w:rFonts w:ascii="Times New Roman" w:hAnsi="Times New Roman"/>
          <w:sz w:val="28"/>
          <w:szCs w:val="28"/>
          <w:lang w:eastAsia="ru-RU"/>
        </w:rPr>
        <w:t xml:space="preserve">бюджетным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учреждением Республики Татарстан «Государственный архив Республики Татарстан»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2026 год и на плановый период 2027 и 2028 годов</w:t>
      </w:r>
      <w:r>
        <w:rPr>
          <w:rFonts w:ascii="Times New Roman" w:hAnsi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numPr>
          <w:ilvl w:val="0"/>
          <w:numId w:val="17"/>
        </w:numPr>
        <w:pBdr/>
        <w:tabs>
          <w:tab w:val="left" w:leader="none" w:pos="1276"/>
        </w:tabs>
        <w:spacing w:after="0" w:line="264" w:lineRule="auto"/>
        <w:ind w:firstLine="851" w:left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Признать утратившим</w:t>
      </w:r>
      <w:r>
        <w:rPr>
          <w:rFonts w:ascii="Times New Roman" w:hAnsi="Times New Roman"/>
          <w:sz w:val="28"/>
          <w:szCs w:val="28"/>
          <w:lang w:eastAsia="ru-RU"/>
        </w:rPr>
        <w:t xml:space="preserve">и</w:t>
      </w:r>
      <w:r>
        <w:rPr>
          <w:rFonts w:ascii="Times New Roman" w:hAnsi="Times New Roman"/>
          <w:sz w:val="28"/>
          <w:szCs w:val="28"/>
          <w:lang w:eastAsia="ru-RU"/>
        </w:rPr>
        <w:t xml:space="preserve"> силу постановлени</w:t>
      </w:r>
      <w:r>
        <w:rPr>
          <w:rFonts w:ascii="Times New Roman" w:hAnsi="Times New Roman"/>
          <w:sz w:val="28"/>
          <w:szCs w:val="28"/>
          <w:lang w:eastAsia="ru-RU"/>
        </w:rPr>
        <w:t xml:space="preserve">е</w:t>
      </w:r>
      <w:r>
        <w:rPr>
          <w:rFonts w:ascii="Times New Roman" w:hAnsi="Times New Roman"/>
          <w:sz w:val="28"/>
          <w:szCs w:val="28"/>
          <w:lang w:eastAsia="ru-RU"/>
        </w:rPr>
        <w:t xml:space="preserve"> Кабинета Министров Республики Татарстан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от </w:t>
      </w:r>
      <w:r>
        <w:rPr>
          <w:rFonts w:ascii="Times New Roman" w:hAnsi="Times New Roman"/>
          <w:sz w:val="28"/>
          <w:szCs w:val="28"/>
          <w:lang w:eastAsia="ru-RU"/>
        </w:rPr>
        <w:t xml:space="preserve">18.</w:t>
      </w:r>
      <w:r>
        <w:rPr>
          <w:rFonts w:ascii="Times New Roman" w:hAnsi="Times New Roman"/>
          <w:sz w:val="28"/>
          <w:szCs w:val="28"/>
          <w:lang w:eastAsia="ru-RU"/>
        </w:rPr>
        <w:t xml:space="preserve">09</w:t>
      </w:r>
      <w:r>
        <w:rPr>
          <w:rFonts w:ascii="Times New Roman" w:hAnsi="Times New Roman"/>
          <w:sz w:val="28"/>
          <w:szCs w:val="28"/>
          <w:lang w:eastAsia="ru-RU"/>
        </w:rPr>
        <w:t xml:space="preserve">.20</w:t>
      </w:r>
      <w:r>
        <w:rPr>
          <w:rFonts w:ascii="Times New Roman" w:hAnsi="Times New Roman"/>
          <w:sz w:val="28"/>
          <w:szCs w:val="28"/>
          <w:lang w:eastAsia="ru-RU"/>
        </w:rPr>
        <w:t xml:space="preserve">2</w:t>
      </w:r>
      <w:r>
        <w:rPr>
          <w:rFonts w:ascii="Times New Roman" w:hAnsi="Times New Roman"/>
          <w:sz w:val="28"/>
          <w:szCs w:val="28"/>
          <w:lang w:eastAsia="ru-RU"/>
        </w:rPr>
        <w:t xml:space="preserve">4 № </w:t>
      </w:r>
      <w:r>
        <w:rPr>
          <w:rFonts w:ascii="Times New Roman" w:hAnsi="Times New Roman"/>
          <w:sz w:val="28"/>
          <w:szCs w:val="28"/>
          <w:lang w:eastAsia="ru-RU"/>
        </w:rPr>
        <w:t xml:space="preserve">809 «Об утверждении нормативных затрат государственного бюджетного учреждения Республики Татарстан «Государственный архив Республики Татарстан» на 20</w:t>
      </w:r>
      <w:r>
        <w:rPr>
          <w:rFonts w:ascii="Times New Roman" w:hAnsi="Times New Roman"/>
          <w:sz w:val="28"/>
          <w:szCs w:val="28"/>
          <w:lang w:eastAsia="ru-RU"/>
        </w:rPr>
        <w:t xml:space="preserve">2</w:t>
      </w:r>
      <w:r>
        <w:rPr>
          <w:rFonts w:ascii="Times New Roman" w:hAnsi="Times New Roman"/>
          <w:sz w:val="28"/>
          <w:szCs w:val="28"/>
          <w:lang w:eastAsia="ru-RU"/>
        </w:rPr>
        <w:t xml:space="preserve">5 год и на плановый период 2026 и 2027</w:t>
      </w:r>
      <w:r>
        <w:rPr>
          <w:rFonts w:ascii="Times New Roman" w:hAnsi="Times New Roman"/>
          <w:sz w:val="28"/>
          <w:szCs w:val="28"/>
          <w:lang w:eastAsia="ru-RU"/>
        </w:rPr>
        <w:t xml:space="preserve"> год</w:t>
      </w:r>
      <w:r>
        <w:rPr>
          <w:rFonts w:ascii="Times New Roman" w:hAnsi="Times New Roman"/>
          <w:sz w:val="28"/>
          <w:szCs w:val="28"/>
          <w:lang w:eastAsia="ru-RU"/>
        </w:rPr>
        <w:t xml:space="preserve">ов»</w:t>
      </w:r>
      <w:r>
        <w:rPr>
          <w:rFonts w:ascii="Times New Roman" w:hAnsi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Bdr/>
        <w:spacing w:after="0" w:line="264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</w:t>
      </w:r>
      <w:r>
        <w:rPr>
          <w:rFonts w:ascii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sz w:val="28"/>
          <w:szCs w:val="28"/>
          <w:lang w:eastAsia="ru-RU"/>
        </w:rPr>
        <w:t xml:space="preserve">Установить, что настоящее постановление вступает в силу с 1 января 20</w:t>
      </w:r>
      <w:r>
        <w:rPr>
          <w:rFonts w:ascii="Times New Roman" w:hAnsi="Times New Roman"/>
          <w:sz w:val="28"/>
          <w:szCs w:val="28"/>
          <w:lang w:eastAsia="ru-RU"/>
        </w:rPr>
        <w:t xml:space="preserve">2</w:t>
      </w:r>
      <w:r>
        <w:rPr>
          <w:rFonts w:ascii="Times New Roman" w:hAnsi="Times New Roman"/>
          <w:sz w:val="28"/>
          <w:szCs w:val="28"/>
          <w:lang w:eastAsia="ru-RU"/>
        </w:rPr>
        <w:t xml:space="preserve">6 года</w:t>
      </w:r>
      <w:r>
        <w:rPr>
          <w:rFonts w:ascii="Times New Roman" w:hAnsi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Bdr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right="-1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Премьер-министр</w:t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Республики Татарстан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А.В. Песошин</w:t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  <w:sectPr>
          <w:headerReference w:type="default" r:id="rId9"/>
          <w:headerReference w:type="first" r:id="rId10"/>
          <w:footnotePr/>
          <w:endnotePr/>
          <w:type w:val="nextPage"/>
          <w:pgSz w:h="16838" w:orient="portrait" w:w="11906"/>
          <w:pgMar w:top="993" w:right="849" w:bottom="1134" w:left="1134" w:header="708" w:footer="131" w:gutter="0"/>
          <w:pgNumType w:start="1"/>
          <w:cols w:num="1" w:sep="0" w:space="708" w:equalWidth="1"/>
          <w:titlePg/>
        </w:sect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tabs>
          <w:tab w:val="left" w:leader="none" w:pos="11482"/>
        </w:tabs>
        <w:spacing w:after="0"/>
        <w:ind w:hanging="567" w:left="12049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УТВЕРЖДЕНЫ 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Bdr/>
        <w:tabs>
          <w:tab w:val="left" w:leader="none" w:pos="11482"/>
        </w:tabs>
        <w:spacing w:after="0"/>
        <w:ind w:hanging="567" w:left="12049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постановлением 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Bdr/>
        <w:tabs>
          <w:tab w:val="left" w:leader="none" w:pos="11482"/>
        </w:tabs>
        <w:spacing w:after="0"/>
        <w:ind w:hanging="567" w:left="12049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Кабинета Министров 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Bdr/>
        <w:tabs>
          <w:tab w:val="left" w:leader="none" w:pos="11482"/>
        </w:tabs>
        <w:spacing w:after="0"/>
        <w:ind w:hanging="567" w:left="12049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Республики Татарстан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Bdr/>
        <w:tabs>
          <w:tab w:val="left" w:leader="none" w:pos="11482"/>
        </w:tabs>
        <w:spacing w:after="0"/>
        <w:ind w:hanging="567" w:left="12049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от «__» ___ 20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2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5 г. № ___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Bdr/>
        <w:spacing/>
        <w:ind w:right="-1" w:left="5812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Bdr/>
        <w:spacing w:after="0"/>
        <w:ind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НОРМАТИВНЫЕ ЗАТРАТЫ И ОБЪЕМЫ </w:t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Bdr/>
        <w:spacing w:after="0"/>
        <w:ind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ПРЕДОСТАВЛЕНИЯ ГОСУДАРСТВЕННЫХ УСЛУГ </w:t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Bdr/>
        <w:spacing w:after="0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ГОСУДАРСТВЕННЫМ БЮДЖЕТНЫМ УЧРЕЖДЕНИЕМ РЕСПУБЛИКИ ТАТАРСТАН «ГОСУДАРСТВЕННЫЙ АРХИВ РЕСПУБЛИКИ ТАТАРСТАН»</w:t>
      </w:r>
      <w:r>
        <w:rPr>
          <w:rFonts w:ascii="Times New Roman" w:hAnsi="Times New Roman"/>
          <w:sz w:val="28"/>
          <w:szCs w:val="28"/>
          <w:lang w:eastAsia="ru-RU"/>
        </w:rPr>
        <w:t xml:space="preserve"> НА </w:t>
      </w:r>
      <w:r>
        <w:rPr>
          <w:rFonts w:ascii="Times New Roman" w:hAnsi="Times New Roman"/>
          <w:sz w:val="28"/>
          <w:szCs w:val="28"/>
        </w:rPr>
        <w:t xml:space="preserve">2026 ГОД И НА ПЛАНОВЫЙ ПЕРИОД 2027 И 2028 ГОДОВ</w:t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/>
        <w:ind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Bdr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W w:w="1530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92"/>
        <w:gridCol w:w="3372"/>
        <w:gridCol w:w="1843"/>
        <w:gridCol w:w="1846"/>
        <w:gridCol w:w="1273"/>
        <w:gridCol w:w="1846"/>
        <w:gridCol w:w="1276"/>
        <w:gridCol w:w="1984"/>
        <w:gridCol w:w="1273"/>
      </w:tblGrid>
      <w:tr>
        <w:trPr>
          <w:trHeight w:val="469"/>
          <w:tblHeader/>
        </w:trPr>
        <w:tc>
          <w:tcPr>
            <w:shd w:val="clear" w:color="auto" w:fill="auto"/>
            <w:tcBorders/>
            <w:tcW w:w="592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 w:right="-108" w:left="-108"/>
              <w:contextualSpacing w:val="tru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п/п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3372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Государственная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Bdr/>
              <w:spacing w:after="0" w:line="24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услуг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843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Единица измерения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gridSpan w:val="6"/>
            <w:shd w:val="clear" w:color="auto" w:fill="auto"/>
            <w:tcBorders/>
            <w:tcW w:w="9497" w:type="dxa"/>
            <w:textDirection w:val="lrTb"/>
            <w:noWrap w:val="false"/>
          </w:tcPr>
          <w:p>
            <w:pPr>
              <w:pBdr/>
              <w:spacing w:after="0" w:line="240" w:lineRule="auto"/>
              <w:ind w:left="-108"/>
              <w:contextualSpacing w:val="tru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Нормативные затраты и объемы услуг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263"/>
          <w:tblHeader/>
        </w:trPr>
        <w:tc>
          <w:tcPr>
            <w:shd w:val="clear" w:color="auto" w:fill="auto"/>
            <w:tcBorders/>
            <w:tcW w:w="592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 w:right="-108" w:left="-108"/>
              <w:contextualSpacing w:val="tru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3372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843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gridSpan w:val="2"/>
            <w:shd w:val="clear" w:color="auto" w:fill="auto"/>
            <w:tcBorders/>
            <w:tcW w:w="3119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2026 год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gridSpan w:val="2"/>
            <w:tcBorders/>
            <w:tcW w:w="3121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2027 год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gridSpan w:val="2"/>
            <w:tcBorders/>
            <w:tcW w:w="3257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2028 год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</w:tr>
      <w:tr>
        <w:trPr>
          <w:trHeight w:val="1145"/>
          <w:tblHeader/>
        </w:trPr>
        <w:tc>
          <w:tcPr>
            <w:shd w:val="clear" w:color="auto" w:fill="auto"/>
            <w:tcBorders/>
            <w:tcW w:w="592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 w:right="-108" w:left="-108"/>
              <w:contextualSpacing w:val="tru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3372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843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1846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н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ормативные затраты, рублей в год на одну единицу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услуги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/>
            <w:tcW w:w="1273" w:type="dxa"/>
            <w:textDirection w:val="lrTb"/>
            <w:noWrap w:val="false"/>
          </w:tcPr>
          <w:p>
            <w:pPr>
              <w:pBdr/>
              <w:spacing w:after="0" w:line="240" w:lineRule="auto"/>
              <w:ind w:left="-108"/>
              <w:contextualSpacing w:val="true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о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бъем услуг в год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1846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н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ормативные затраты, рублей в год на одну единицу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услуги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Bdr/>
              <w:spacing w:after="0" w:line="240" w:lineRule="auto"/>
              <w:ind w:left="-108"/>
              <w:contextualSpacing w:val="true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о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бъем услуг в год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н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ормативные затраты, рублей в год на одну единицу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услуги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1273" w:type="dxa"/>
            <w:textDirection w:val="lrTb"/>
            <w:noWrap w:val="false"/>
          </w:tcPr>
          <w:p>
            <w:pPr>
              <w:pBdr/>
              <w:spacing w:after="0" w:line="240" w:lineRule="auto"/>
              <w:ind w:left="-108"/>
              <w:contextualSpacing w:val="true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о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бъем услуг в год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</w:tr>
      <w:tr>
        <w:trPr>
          <w:trHeight w:val="415"/>
        </w:trPr>
        <w:tc>
          <w:tcPr>
            <w:shd w:val="clear" w:color="ffffff" w:fill="ffffff"/>
            <w:tcBorders/>
            <w:tcW w:w="592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Borders/>
            <w:tcW w:w="3372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843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Borders/>
            <w:tcW w:w="1846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Borders/>
            <w:tcW w:w="1273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846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276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984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273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9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770"/>
        </w:trPr>
        <w:tc>
          <w:tcPr>
            <w:shd w:val="clear" w:color="auto" w:fill="auto"/>
            <w:tcBorders/>
            <w:tcW w:w="592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3372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Предоставление архивных справок и копий архивных документов, связанных с социальной защитой граждан,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предусматривающей их пенсионное обеспечение, а такж</w:t>
            </w:r>
            <w:r>
              <w:rPr>
                <w:rFonts w:ascii="Times New Roman" w:hAnsi="Times New Roman"/>
                <w:sz w:val="28"/>
                <w:szCs w:val="28"/>
                <w:lang w:val="undefined"/>
              </w:rPr>
              <w:t xml:space="preserve">е </w:t>
            </w:r>
            <w:r>
              <w:rPr>
                <w:rFonts w:ascii="Times New Roman" w:hAnsi="Times New Roman"/>
                <w:sz w:val="28"/>
                <w:szCs w:val="28"/>
                <w:lang w:val="undefined"/>
              </w:rPr>
              <w:t xml:space="preserve">получение льгот и компенсаций в соответствии с законодательством Российской Федерации и международными обязательствами Российской Федерации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/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  <w:tc>
          <w:tcPr>
            <w:tcBorders/>
            <w:tcW w:w="184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количество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исполненных запросов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единиц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184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2 627,92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127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00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vertAlign w:val="superscript"/>
              </w:rPr>
              <w:t xml:space="preserve">*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84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2 828,43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00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vertAlign w:val="superscript"/>
              </w:rPr>
              <w:t xml:space="preserve">*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3 044,32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/>
            <w:tcW w:w="127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00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vertAlign w:val="superscript"/>
              </w:rPr>
              <w:t xml:space="preserve">*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</w:tr>
      <w:tr>
        <w:trPr>
          <w:trHeight w:val="1576"/>
        </w:trPr>
        <w:tc>
          <w:tcPr>
            <w:shd w:val="clear" w:color="auto" w:fill="auto"/>
            <w:tcBorders/>
            <w:tcW w:w="592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3372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Обеспечение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доступа к архивным документам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справочно-поисковым средствам к ним в читальном зале архива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84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ичест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во посещений читального зала, ед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иниц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184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1 970,94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127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val="en-US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00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vertAlign w:val="superscript"/>
              </w:rPr>
              <w:t xml:space="preserve">**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84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2 121,32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val="en-US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00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vertAlign w:val="superscript"/>
              </w:rPr>
              <w:t xml:space="preserve">**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2 283,24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27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val="en-US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00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vertAlign w:val="superscript"/>
              </w:rPr>
              <w:t xml:space="preserve">**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</w:tr>
    </w:tbl>
    <w:p>
      <w:pPr>
        <w:pBdr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</w:t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Bdr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  <w:vertAlign w:val="superscript"/>
        </w:rPr>
        <w:t xml:space="preserve">*</w:t>
      </w:r>
      <w:r>
        <w:rPr>
          <w:rFonts w:ascii="Times New Roman" w:hAnsi="Times New Roman"/>
          <w:sz w:val="24"/>
          <w:szCs w:val="24"/>
          <w:highlight w:val="none"/>
        </w:rPr>
        <w:t xml:space="preserve"> Объем предоставляемых государственных услуг определяется в количестве единиц исполненных запросов.</w:t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Bdr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  <w:vertAlign w:val="superscript"/>
        </w:rPr>
        <w:t xml:space="preserve">**</w:t>
      </w:r>
      <w:r>
        <w:rPr>
          <w:rFonts w:ascii="Times New Roman" w:hAnsi="Times New Roman"/>
          <w:sz w:val="24"/>
          <w:szCs w:val="24"/>
          <w:highlight w:val="none"/>
        </w:rPr>
        <w:t xml:space="preserve"> Объем предоставляемых государственных услуг определяется в количестве единиц посещений читального зала архива</w:t>
      </w:r>
      <w:r>
        <w:rPr>
          <w:rFonts w:ascii="Times New Roman" w:hAnsi="Times New Roman"/>
          <w:sz w:val="24"/>
          <w:szCs w:val="24"/>
          <w:highlight w:val="none"/>
        </w:rPr>
        <w:t xml:space="preserve">.</w:t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Bdr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Bdr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highlight w:val="none"/>
        </w:rPr>
        <w:sectPr>
          <w:footnotePr/>
          <w:endnotePr/>
          <w:type w:val="nextPage"/>
          <w:pgSz w:h="11906" w:orient="landscape" w:w="16838"/>
          <w:pgMar w:top="1134" w:right="993" w:bottom="849" w:left="1134" w:header="708" w:footer="131" w:gutter="0"/>
          <w:pgNumType w:start="1"/>
          <w:cols w:num="1" w:sep="0" w:space="708" w:equalWidth="1"/>
          <w:titlePg/>
        </w:sectPr>
      </w:pPr>
      <w:r>
        <w:rPr>
          <w:highlight w:val="none"/>
        </w:rPr>
      </w:r>
      <w:bookmarkStart w:id="0" w:name="_GoBack"/>
      <w:r>
        <w:rPr>
          <w:highlight w:val="none"/>
        </w:rPr>
      </w:r>
      <w:bookmarkEnd w:id="0"/>
      <w:r>
        <w:rPr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Bdr/>
        <w:spacing w:after="0"/>
        <w:ind w:firstLine="4678" w:left="6662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УТВЕРЖДЕНЫ 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Bdr/>
        <w:spacing w:after="0"/>
        <w:ind w:firstLine="4678" w:left="6662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постановлением 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Bdr/>
        <w:spacing w:after="0"/>
        <w:ind w:firstLine="4678" w:left="6662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Кабинета Министров 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Bdr/>
        <w:spacing w:after="0"/>
        <w:ind w:firstLine="4678" w:left="6662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Республики Татарстан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Bdr/>
        <w:spacing w:after="0"/>
        <w:ind w:firstLine="4678" w:left="6662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от «__» ___ 20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2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5 г. № ___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Bdr/>
        <w:spacing/>
        <w:ind w:right="-1" w:left="5812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Bdr/>
        <w:spacing w:after="0"/>
        <w:ind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НОРМАТИВНЫЕ ЗАТРАТЫ </w:t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Bdr/>
        <w:spacing w:after="0"/>
        <w:ind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НА ВЫПОЛНЕНИЕ ГОСУДАРСТВЕННЫХ РАБОТ </w:t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Bdr/>
        <w:spacing w:after="0"/>
        <w:ind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ГОСУДАРСТВЕННЫМ БЮДЖЕТНЫМ УЧРЕЖДЕНИЕМ РЕСПУБЛИКИ ТАТАРСТАН «ГОСУДАРСТВЕННЫЙ АРХИВ РЕСПУБЛИКИ ТАТАРСТАН»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2026 ГОД И НА ПЛАНОВЫЙ ПЕРИОД 2027 И 2028 ГОДОВ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Bdr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639"/>
        <w:gridCol w:w="6019"/>
        <w:gridCol w:w="2976"/>
        <w:gridCol w:w="2552"/>
        <w:gridCol w:w="2515"/>
      </w:tblGrid>
      <w:tr>
        <w:trPr>
          <w:tblHeader/>
        </w:trPr>
        <w:tc>
          <w:tcPr>
            <w:shd w:val="clear" w:color="auto" w:fill="auto"/>
            <w:tcBorders/>
            <w:tcW w:w="639" w:type="dxa"/>
            <w:vMerge w:val="restart"/>
            <w:textDirection w:val="lrTb"/>
            <w:noWrap w:val="false"/>
          </w:tcPr>
          <w:p>
            <w:pPr>
              <w:pBdr/>
              <w:spacing/>
              <w:ind w:right="-108" w:left="-108"/>
              <w:contextualSpacing w:val="tru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п/п 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6019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Государственная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работ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gridSpan w:val="3"/>
            <w:shd w:val="clear" w:color="auto" w:fill="auto"/>
            <w:tcBorders/>
            <w:tcW w:w="804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Нормативные затраты, рублей в год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blHeader/>
        </w:trPr>
        <w:tc>
          <w:tcPr>
            <w:shd w:val="clear" w:color="auto" w:fill="auto"/>
            <w:tcBorders/>
            <w:tcW w:w="639" w:type="dxa"/>
            <w:vMerge w:val="continue"/>
            <w:textDirection w:val="lrTb"/>
            <w:noWrap w:val="false"/>
          </w:tcPr>
          <w:p>
            <w:pPr>
              <w:pBdr/>
              <w:spacing/>
              <w:ind w:right="-108" w:left="-108"/>
              <w:contextualSpacing w:val="tru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601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2976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2026 год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tcBorders/>
            <w:tcW w:w="2552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2027 год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tcBorders/>
            <w:tcW w:w="2515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2028 год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</w:tr>
      <w:tr>
        <w:trPr>
          <w:trHeight w:val="348"/>
        </w:trPr>
        <w:tc>
          <w:tcPr>
            <w:shd w:val="clear" w:color="ffffff" w:fill="ffffff"/>
            <w:tcBorders/>
            <w:tcW w:w="639" w:type="dxa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Borders/>
            <w:tcW w:w="6019" w:type="dxa"/>
            <w:vMerge w:val="restart"/>
            <w:textDirection w:val="lrTb"/>
            <w:noWrap w:val="false"/>
          </w:tcPr>
          <w:p>
            <w:pPr>
              <w:pBdr/>
              <w:spacing w:after="0" w:afterAutospacing="0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Borders/>
            <w:tcW w:w="2976" w:type="dxa"/>
            <w:vMerge w:val="restart"/>
            <w:textDirection w:val="lrTb"/>
            <w:noWrap w:val="false"/>
          </w:tcPr>
          <w:p>
            <w:pPr>
              <w:pBdr/>
              <w:spacing w:after="0" w:afterAutospacing="0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/>
            <w:tcW w:w="2552" w:type="dxa"/>
            <w:vMerge w:val="restart"/>
            <w:textDirection w:val="lrTb"/>
            <w:noWrap w:val="false"/>
          </w:tcPr>
          <w:p>
            <w:pPr>
              <w:pBdr/>
              <w:spacing w:after="0" w:afterAutospacing="0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/>
            <w:tcW w:w="2515" w:type="dxa"/>
            <w:vMerge w:val="restart"/>
            <w:textDirection w:val="lrTb"/>
            <w:noWrap w:val="false"/>
          </w:tcPr>
          <w:p>
            <w:pPr>
              <w:pBdr/>
              <w:spacing w:after="0" w:afterAutospacing="0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shd w:val="clear" w:color="auto" w:fill="auto"/>
            <w:tcBorders/>
            <w:tcW w:w="63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6019" w:type="dxa"/>
            <w:textDirection w:val="lrTb"/>
            <w:noWrap w:val="false"/>
          </w:tcPr>
          <w:p>
            <w:pPr>
              <w:pBdr/>
              <w:spacing w:after="0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Комплектование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архивов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архивными документами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2976" w:type="dxa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26 279 189</w:t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28 284 270</w:t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515" w:type="dxa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30 443 230</w:t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shd w:val="clear" w:color="auto" w:fill="auto"/>
            <w:tcBorders/>
            <w:tcW w:w="63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6019" w:type="dxa"/>
            <w:textDirection w:val="lrTb"/>
            <w:noWrap w:val="false"/>
          </w:tcPr>
          <w:p>
            <w:pPr>
              <w:pBdr/>
              <w:spacing w:after="0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Обеспечение сохранности и учет архивных документов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2976" w:type="dxa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53 872 338</w:t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57 982 754</w:t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515" w:type="dxa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62 408 621</w:t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shd w:val="clear" w:color="auto" w:fill="auto"/>
            <w:tcBorders/>
            <w:tcW w:w="63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6019" w:type="dxa"/>
            <w:textDirection w:val="lrTb"/>
            <w:noWrap w:val="false"/>
          </w:tcPr>
          <w:p>
            <w:pPr>
              <w:pBdr/>
              <w:spacing w:after="0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писание архивных документов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создание справочно-поисковых средств к ним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подготовка справочно-информационных изданий о составе и содержании архивных фондов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2976" w:type="dxa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13 139 595</w:t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14 142 135</w:t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515" w:type="dxa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15 221 615</w:t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shd w:val="clear" w:color="auto" w:fill="auto"/>
            <w:tcBorders/>
            <w:tcW w:w="63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6019" w:type="dxa"/>
            <w:textDirection w:val="lrTb"/>
            <w:noWrap w:val="false"/>
          </w:tcPr>
          <w:p>
            <w:pPr>
              <w:pBdr/>
              <w:spacing w:after="0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Защита сведений, составляющих государственную тайну, других охраняемых законом тайн, содержащихся в архивных документах, и организаци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установленном порядке их рассекречивания 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2976" w:type="dxa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5 255 811</w:t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5 656 810</w:t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515" w:type="dxa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6 088 720</w:t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shd w:val="clear" w:color="auto" w:fill="auto"/>
            <w:tcBorders/>
            <w:tcW w:w="63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5.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6019" w:type="dxa"/>
            <w:textDirection w:val="lrTb"/>
            <w:noWrap w:val="false"/>
          </w:tcPr>
          <w:p>
            <w:pPr>
              <w:pBdr/>
              <w:spacing w:after="0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Консультационная и методическая поддержка по вопросам архивной деятельности и документационного обеспечения управления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2976" w:type="dxa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7 883 757</w:t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8 485 281</w:t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515" w:type="dxa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9 132 969</w:t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shd w:val="clear" w:color="auto" w:fill="auto"/>
            <w:tcBorders/>
            <w:tcW w:w="63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6.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6019" w:type="dxa"/>
            <w:textDirection w:val="lrTb"/>
            <w:noWrap w:val="false"/>
          </w:tcPr>
          <w:p>
            <w:pPr>
              <w:pBdr/>
              <w:spacing w:after="0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Обеспечение удаленного доступа к справочно-поисковым средствам к архивным документам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2976" w:type="dxa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9 197 716</w:t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9 899 495</w:t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515" w:type="dxa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10 655 130</w:t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shd w:val="clear" w:color="auto" w:fill="auto"/>
            <w:tcBorders/>
            <w:tcW w:w="63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7.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6019" w:type="dxa"/>
            <w:textDirection w:val="lrTb"/>
            <w:noWrap w:val="false"/>
          </w:tcPr>
          <w:p>
            <w:pPr>
              <w:pBdr/>
              <w:spacing w:after="0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Реализация информационных мероприятий,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публикаторских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выставочных проектов на основе архивных документов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2976" w:type="dxa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13 139 595</w:t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14 142 135</w:t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515" w:type="dxa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15 221 615</w:t>
            </w:r>
            <w:r>
              <w:rPr>
                <w:sz w:val="28"/>
                <w:szCs w:val="28"/>
              </w:rPr>
            </w:r>
          </w:p>
        </w:tc>
      </w:tr>
    </w:tbl>
    <w:p>
      <w:pPr>
        <w:pBdr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  <w:sectPr>
          <w:footnotePr/>
          <w:endnotePr/>
          <w:type w:val="nextPage"/>
          <w:pgSz w:h="11906" w:orient="landscape" w:w="16838"/>
          <w:pgMar w:top="1134" w:right="993" w:bottom="849" w:left="1134" w:header="708" w:footer="131" w:gutter="0"/>
          <w:pgNumType w:start="1"/>
          <w:cols w:num="1" w:sep="0" w:space="708" w:equalWidth="1"/>
          <w:titlePg/>
        </w:sect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tabs>
          <w:tab w:val="center" w:leader="none" w:pos="4890"/>
        </w:tabs>
        <w:spacing w:after="0"/>
        <w:ind/>
        <w:jc w:val="center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П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ОЯСНИТЕЛЬНАЯ ЗАПИСКА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pBdr/>
        <w:spacing w:after="0"/>
        <w:ind/>
        <w:jc w:val="center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к проекту постановления Кабинета Министров Республики Татарстан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pStyle w:val="772"/>
        <w:pBdr/>
        <w:spacing w:after="0"/>
        <w:ind w:left="0"/>
        <w:jc w:val="center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«Об утверждении нормативных затрат 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государственного бюджетного учреждения Республики Татарстан «Государственный архив 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pStyle w:val="772"/>
        <w:pBdr/>
        <w:spacing w:after="0"/>
        <w:ind w:left="0"/>
        <w:jc w:val="center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Республики Татарстан»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на 2026 год и на плановый период 2027 и 2028 годов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»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pBdr/>
        <w:spacing w:after="0" w:line="312" w:lineRule="auto"/>
        <w:ind/>
        <w:jc w:val="both"/>
        <w:rPr>
          <w:b/>
        </w:rPr>
      </w:pPr>
      <w:r>
        <w:rPr>
          <w:b/>
        </w:rPr>
      </w:r>
      <w:r>
        <w:rPr>
          <w:b/>
        </w:rPr>
      </w:r>
    </w:p>
    <w:p>
      <w:pPr>
        <w:pBdr/>
        <w:spacing w:after="0" w:line="288" w:lineRule="auto"/>
        <w:ind w:right="-1" w:firstLine="851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Проект постановления Кабинета Министров Республики Татарстан «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Об утверждении нормативных затрат </w:t>
      </w:r>
      <w:r>
        <w:rPr>
          <w:rFonts w:ascii="Times New Roman" w:hAnsi="Times New Roman"/>
          <w:sz w:val="28"/>
          <w:szCs w:val="28"/>
        </w:rPr>
        <w:t xml:space="preserve">государственн</w:t>
      </w:r>
      <w:r>
        <w:rPr>
          <w:rFonts w:ascii="Times New Roman" w:hAnsi="Times New Roman"/>
          <w:sz w:val="28"/>
          <w:szCs w:val="28"/>
        </w:rPr>
        <w:t xml:space="preserve">ого бюджетного учреждения Республики Татарстан «Государственный архив Республики Татарстан»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на </w:t>
      </w:r>
      <w:bookmarkStart w:id="1" w:name="_Hlk175644241"/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2026 год и на плановый период 2027 и 2028 годов</w:t>
      </w:r>
      <w:bookmarkEnd w:id="1"/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»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разработан </w:t>
      </w:r>
      <w:r>
        <w:rPr>
          <w:rFonts w:ascii="Times New Roman" w:hAnsi="Times New Roman"/>
          <w:sz w:val="28"/>
          <w:szCs w:val="28"/>
        </w:rPr>
        <w:t xml:space="preserve">рамках реализации </w:t>
      </w:r>
      <w:r>
        <w:rPr>
          <w:rFonts w:ascii="Times New Roman" w:hAnsi="Times New Roman"/>
          <w:sz w:val="28"/>
          <w:szCs w:val="28"/>
        </w:rPr>
        <w:t xml:space="preserve">Плана работы Кабинета Министров Республики Татарстан на 2025 год, утвержденного распоряжением Кабинета Министров Республики Татарстан от 23.12.2024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№ 2996-р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Bdr/>
        <w:spacing w:after="0" w:line="288" w:lineRule="auto"/>
        <w:ind w:right="-1" w:firstLine="851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Проектом постановления Кабинета Министров Республики Татарстан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2026 год и на плановый период 2027 и 2028 годов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утверждаются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: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Bdr/>
        <w:spacing w:after="0" w:line="288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нормативные затраты и объемы предоставления государственных услуг государственным бюджетным учреждением Республики Татарстан «Государственный архив Республики Татарстан»;</w:t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Bdr/>
        <w:spacing w:after="0" w:line="288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нормативные затраты на выполнение государственных работ государственным учреждением Республики Татарстан «Государственный архив Республики Татарстан».</w:t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Bdr/>
        <w:spacing w:after="0" w:line="288" w:lineRule="auto"/>
        <w:ind w:right="-1" w:firstLine="851"/>
        <w:jc w:val="both"/>
        <w:rPr>
          <w:rFonts w:ascii="Times New Roman" w:hAnsi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Принятие данного проекта постановления не потребует выделения дополнительных средств из бюджета Республики Татарстан</w:t>
      </w:r>
      <w:r>
        <w:rPr>
          <w:rFonts w:ascii="Times New Roman" w:hAnsi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/>
          <w:sz w:val="28"/>
          <w:szCs w:val="28"/>
        </w:rPr>
      </w:r>
    </w:p>
    <w:p>
      <w:pPr>
        <w:pStyle w:val="774"/>
        <w:pBdr/>
        <w:spacing w:line="293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Отсутствует необходимость</w:t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 в проведении оценки регулирующего воздействия</w:t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 проекта постановления </w:t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Кабинета Министров Республики Татарстан</w:t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По итогам</w:t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независимой антикоррупционной экспертизы</w:t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 проекта </w:t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постановления </w:t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Кабинета Министров Республики Татарстан</w:t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 заключений не поступало.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pBdr/>
        <w:spacing w:after="0" w:line="288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/>
          <w:sz w:val="28"/>
          <w:szCs w:val="28"/>
          <w:highlight w:val="none"/>
          <w:lang w:eastAsia="ru-RU"/>
        </w:rPr>
      </w:r>
    </w:p>
    <w:sectPr>
      <w:footnotePr/>
      <w:endnotePr/>
      <w:type w:val="nextPage"/>
      <w:pgSz w:h="16838" w:orient="portrait" w:w="11906"/>
      <w:pgMar w:top="709" w:right="849" w:bottom="568" w:left="1134" w:header="708" w:footer="131" w:gutter="0"/>
      <w:pgNumType w:start="1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5"/>
      <w:pBdr/>
      <w:spacing/>
      <w:ind/>
      <w:jc w:val="center"/>
      <w:rPr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775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5"/>
      <w:pBdr/>
      <w:spacing/>
      <w:ind/>
      <w:jc w:val="center"/>
      <w:rPr/>
    </w:pPr>
    <w:r/>
    <w:r/>
  </w:p>
  <w:p>
    <w:pPr>
      <w:pStyle w:val="775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725565"/>
    <w:lvl w:ilvl="0">
      <w:isLgl w:val="false"/>
      <w:lvlJc w:val="left"/>
      <w:lvlText w:val="%1."/>
      <w:numFmt w:val="decimal"/>
      <w:pPr>
        <w:pBdr/>
        <w:spacing/>
        <w:ind w:hanging="360" w:left="928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8"/>
      </w:pPr>
      <w:rPr/>
      <w:start w:val="1"/>
      <w:suff w:val="tab"/>
    </w:lvl>
  </w:abstractNum>
  <w:abstractNum w:abstractNumId="1">
    <w:nsid w:val="0A093BE7"/>
    <w:lvl w:ilvl="0">
      <w:isLgl w:val="false"/>
      <w:lvlJc w:val="left"/>
      <w:lvlText w:val="%1."/>
      <w:numFmt w:val="decimal"/>
      <w:pPr>
        <w:pBdr/>
        <w:spacing/>
        <w:ind w:hanging="360" w:left="928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8"/>
      </w:pPr>
      <w:rPr/>
      <w:start w:val="1"/>
      <w:suff w:val="tab"/>
    </w:lvl>
  </w:abstractNum>
  <w:abstractNum w:abstractNumId="2">
    <w:nsid w:val="103A2557"/>
    <w:lvl w:ilvl="0">
      <w:isLgl w:val="false"/>
      <w:lvlJc w:val="left"/>
      <w:lvlText w:val="%1."/>
      <w:numFmt w:val="decimal"/>
      <w:pPr>
        <w:pBdr/>
        <w:spacing/>
        <w:ind w:hanging="360" w:left="121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3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65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7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9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1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3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25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71"/>
      </w:pPr>
      <w:rPr/>
      <w:start w:val="1"/>
      <w:suff w:val="tab"/>
    </w:lvl>
  </w:abstractNum>
  <w:abstractNum w:abstractNumId="3">
    <w:nsid w:val="171002EB"/>
    <w:lvl w:ilvl="0">
      <w:isLgl w:val="false"/>
      <w:lvlJc w:val="left"/>
      <w:lvlText w:val="%1."/>
      <w:numFmt w:val="decimal"/>
      <w:pPr>
        <w:pBdr/>
        <w:spacing/>
        <w:ind w:hanging="360" w:left="786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4">
    <w:nsid w:val="17E96D15"/>
    <w:lvl w:ilvl="0">
      <w:isLgl w:val="false"/>
      <w:lvlJc w:val="left"/>
      <w:lvlText w:val="%1."/>
      <w:numFmt w:val="decimal"/>
      <w:pPr>
        <w:pBdr/>
        <w:spacing/>
        <w:ind w:hanging="1275" w:left="2126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3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65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7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9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1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3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25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71"/>
      </w:pPr>
      <w:rPr/>
      <w:start w:val="1"/>
      <w:suff w:val="tab"/>
    </w:lvl>
  </w:abstractNum>
  <w:abstractNum w:abstractNumId="5">
    <w:nsid w:val="17FA7DDB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720" w:left="1440"/>
      </w:pPr>
      <w:rPr>
        <w:rFonts w:hint="default"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800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1080" w:left="2520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2880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440" w:left="3600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800" w:left="4320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800" w:left="4680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2160" w:left="5400"/>
      </w:pPr>
      <w:rPr>
        <w:rFonts w:hint="default"/>
      </w:rPr>
      <w:start w:val="1"/>
      <w:suff w:val="tab"/>
    </w:lvl>
  </w:abstractNum>
  <w:abstractNum w:abstractNumId="6">
    <w:nsid w:val="1BB40D8F"/>
    <w:lvl w:ilvl="0">
      <w:isLgl w:val="false"/>
      <w:lvlJc w:val="left"/>
      <w:lvlText w:val="%1."/>
      <w:numFmt w:val="decimal"/>
      <w:pPr>
        <w:pBdr/>
        <w:spacing/>
        <w:ind w:hanging="360" w:left="1068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/>
      <w:start w:val="1"/>
      <w:suff w:val="tab"/>
    </w:lvl>
  </w:abstractNum>
  <w:abstractNum w:abstractNumId="7">
    <w:nsid w:val="24F61C59"/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8">
    <w:nsid w:val="2B1279E8"/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9">
    <w:nsid w:val="2D097E7F"/>
    <w:lvl w:ilvl="0">
      <w:isLgl w:val="false"/>
      <w:lvlJc w:val="left"/>
      <w:lvlText w:val="%1."/>
      <w:numFmt w:val="decimal"/>
      <w:pPr>
        <w:pBdr/>
        <w:spacing/>
        <w:ind w:hanging="360" w:left="928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8"/>
      </w:pPr>
      <w:rPr/>
      <w:start w:val="1"/>
      <w:suff w:val="tab"/>
    </w:lvl>
  </w:abstractNum>
  <w:abstractNum w:abstractNumId="10">
    <w:nsid w:val="36A92752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">
    <w:nsid w:val="3FEA4225"/>
    <w:lvl w:ilvl="0">
      <w:isLgl w:val="false"/>
      <w:lvlJc w:val="left"/>
      <w:lvlText w:val="%1."/>
      <w:numFmt w:val="decimal"/>
      <w:pPr>
        <w:pBdr/>
        <w:spacing/>
        <w:ind w:hanging="360" w:left="121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2">
    <w:nsid w:val="429B0402"/>
    <w:lvl w:ilvl="0">
      <w:isLgl w:val="false"/>
      <w:lvlJc w:val="left"/>
      <w:lvlText w:val="%1"/>
      <w:numFmt w:val="decimal"/>
      <w:pPr>
        <w:pBdr/>
        <w:spacing/>
        <w:ind w:hanging="360" w:left="1211"/>
      </w:pPr>
      <w:rPr>
        <w:rFonts w:hint="default"/>
      </w:rPr>
      <w:start w:val="3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3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65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7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9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1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3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25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71"/>
      </w:pPr>
      <w:rPr/>
      <w:start w:val="1"/>
      <w:suff w:val="tab"/>
    </w:lvl>
  </w:abstractNum>
  <w:abstractNum w:abstractNumId="13">
    <w:nsid w:val="45081226"/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4">
    <w:nsid w:val="4F5F484F"/>
    <w:lvl w:ilvl="0">
      <w:isLgl w:val="false"/>
      <w:lvlJc w:val="left"/>
      <w:lvlText w:val="%1."/>
      <w:numFmt w:val="decimal"/>
      <w:pPr>
        <w:pBdr/>
        <w:spacing/>
        <w:ind w:hanging="360" w:left="121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5">
    <w:nsid w:val="627F69D6"/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6">
    <w:nsid w:val="783B5046"/>
    <w:lvl w:ilvl="0">
      <w:isLgl w:val="false"/>
      <w:lvlJc w:val="left"/>
      <w:lvlText w:val="%1."/>
      <w:numFmt w:val="decimal"/>
      <w:pPr>
        <w:pBdr/>
        <w:spacing/>
        <w:ind w:hanging="360" w:left="121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7">
    <w:nsid w:val="79633015"/>
    <w:lvl w:ilvl="0">
      <w:isLgl w:val="false"/>
      <w:lvlJc w:val="left"/>
      <w:lvlText w:val="%1."/>
      <w:numFmt w:val="decimal"/>
      <w:pPr>
        <w:pBdr/>
        <w:spacing/>
        <w:ind w:hanging="360" w:left="108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num w:numId="1">
    <w:abstractNumId w:val="7"/>
  </w:num>
  <w:num w:numId="2">
    <w:abstractNumId w:val="10"/>
  </w:num>
  <w:num w:numId="3">
    <w:abstractNumId w:val="5"/>
  </w:num>
  <w:num w:numId="4">
    <w:abstractNumId w:val="3"/>
  </w:num>
  <w:num w:numId="5">
    <w:abstractNumId w:val="6"/>
  </w:num>
  <w:num w:numId="6">
    <w:abstractNumId w:val="11"/>
  </w:num>
  <w:num w:numId="7">
    <w:abstractNumId w:val="8"/>
  </w:num>
  <w:num w:numId="8">
    <w:abstractNumId w:val="15"/>
  </w:num>
  <w:num w:numId="9">
    <w:abstractNumId w:val="12"/>
  </w:num>
  <w:num w:numId="10">
    <w:abstractNumId w:val="14"/>
  </w:num>
  <w:num w:numId="11">
    <w:abstractNumId w:val="16"/>
  </w:num>
  <w:num w:numId="12">
    <w:abstractNumId w:val="2"/>
  </w:num>
  <w:num w:numId="13">
    <w:abstractNumId w:val="0"/>
  </w:num>
  <w:num w:numId="14">
    <w:abstractNumId w:val="17"/>
  </w:num>
  <w:num w:numId="15">
    <w:abstractNumId w:val="9"/>
  </w:num>
  <w:num w:numId="16">
    <w:abstractNumId w:val="1"/>
  </w:num>
  <w:num w:numId="17">
    <w:abstractNumId w:val="13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3">
    <w:name w:val="Table Grid Light"/>
    <w:basedOn w:val="77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77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77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7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7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7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7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7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7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7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7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7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7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7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7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7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7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7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7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7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7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7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7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7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768"/>
    <w:next w:val="768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768"/>
    <w:next w:val="768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68"/>
    <w:next w:val="768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68"/>
    <w:next w:val="768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68"/>
    <w:next w:val="768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68"/>
    <w:next w:val="768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68"/>
    <w:next w:val="768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68"/>
    <w:next w:val="768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68"/>
    <w:next w:val="768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769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769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769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769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769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769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769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769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769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68"/>
    <w:next w:val="768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769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68"/>
    <w:next w:val="768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769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68"/>
    <w:next w:val="768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769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769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68"/>
    <w:next w:val="768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769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769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68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76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769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769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76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769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7">
    <w:name w:val="Header Char"/>
    <w:basedOn w:val="769"/>
    <w:link w:val="775"/>
    <w:uiPriority w:val="99"/>
    <w:pPr>
      <w:pBdr/>
      <w:spacing/>
      <w:ind/>
    </w:pPr>
  </w:style>
  <w:style w:type="character" w:styleId="179">
    <w:name w:val="Footer Char"/>
    <w:basedOn w:val="769"/>
    <w:link w:val="777"/>
    <w:uiPriority w:val="99"/>
    <w:pPr>
      <w:pBdr/>
      <w:spacing/>
      <w:ind/>
    </w:pPr>
  </w:style>
  <w:style w:type="paragraph" w:styleId="180">
    <w:name w:val="Caption"/>
    <w:basedOn w:val="768"/>
    <w:next w:val="768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68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769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769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68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769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769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769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769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68"/>
    <w:next w:val="768"/>
    <w:uiPriority w:val="39"/>
    <w:unhideWhenUsed/>
    <w:pPr>
      <w:pBdr/>
      <w:spacing w:after="100"/>
      <w:ind/>
    </w:pPr>
  </w:style>
  <w:style w:type="paragraph" w:styleId="190">
    <w:name w:val="toc 2"/>
    <w:basedOn w:val="768"/>
    <w:next w:val="768"/>
    <w:uiPriority w:val="39"/>
    <w:unhideWhenUsed/>
    <w:pPr>
      <w:pBdr/>
      <w:spacing w:after="100"/>
      <w:ind w:left="220"/>
    </w:pPr>
  </w:style>
  <w:style w:type="paragraph" w:styleId="191">
    <w:name w:val="toc 3"/>
    <w:basedOn w:val="768"/>
    <w:next w:val="768"/>
    <w:uiPriority w:val="39"/>
    <w:unhideWhenUsed/>
    <w:pPr>
      <w:pBdr/>
      <w:spacing w:after="100"/>
      <w:ind w:left="440"/>
    </w:pPr>
  </w:style>
  <w:style w:type="paragraph" w:styleId="192">
    <w:name w:val="toc 4"/>
    <w:basedOn w:val="768"/>
    <w:next w:val="768"/>
    <w:uiPriority w:val="39"/>
    <w:unhideWhenUsed/>
    <w:pPr>
      <w:pBdr/>
      <w:spacing w:after="100"/>
      <w:ind w:left="660"/>
    </w:pPr>
  </w:style>
  <w:style w:type="paragraph" w:styleId="193">
    <w:name w:val="toc 5"/>
    <w:basedOn w:val="768"/>
    <w:next w:val="768"/>
    <w:uiPriority w:val="39"/>
    <w:unhideWhenUsed/>
    <w:pPr>
      <w:pBdr/>
      <w:spacing w:after="100"/>
      <w:ind w:left="880"/>
    </w:pPr>
  </w:style>
  <w:style w:type="paragraph" w:styleId="194">
    <w:name w:val="toc 6"/>
    <w:basedOn w:val="768"/>
    <w:next w:val="768"/>
    <w:uiPriority w:val="39"/>
    <w:unhideWhenUsed/>
    <w:pPr>
      <w:pBdr/>
      <w:spacing w:after="100"/>
      <w:ind w:left="1100"/>
    </w:pPr>
  </w:style>
  <w:style w:type="paragraph" w:styleId="195">
    <w:name w:val="toc 7"/>
    <w:basedOn w:val="768"/>
    <w:next w:val="768"/>
    <w:uiPriority w:val="39"/>
    <w:unhideWhenUsed/>
    <w:pPr>
      <w:pBdr/>
      <w:spacing w:after="100"/>
      <w:ind w:left="1320"/>
    </w:pPr>
  </w:style>
  <w:style w:type="paragraph" w:styleId="196">
    <w:name w:val="toc 8"/>
    <w:basedOn w:val="768"/>
    <w:next w:val="768"/>
    <w:uiPriority w:val="39"/>
    <w:unhideWhenUsed/>
    <w:pPr>
      <w:pBdr/>
      <w:spacing w:after="100"/>
      <w:ind w:left="1540"/>
    </w:pPr>
  </w:style>
  <w:style w:type="paragraph" w:styleId="197">
    <w:name w:val="toc 9"/>
    <w:basedOn w:val="768"/>
    <w:next w:val="768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769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68"/>
    <w:next w:val="768"/>
    <w:uiPriority w:val="99"/>
    <w:unhideWhenUsed/>
    <w:pPr>
      <w:pBdr/>
      <w:spacing w:after="0" w:afterAutospacing="0"/>
      <w:ind/>
    </w:pPr>
  </w:style>
  <w:style w:type="paragraph" w:styleId="768" w:default="1">
    <w:name w:val="Normal"/>
    <w:qFormat/>
    <w:pPr>
      <w:pBdr/>
      <w:spacing w:after="200" w:line="276" w:lineRule="auto"/>
      <w:ind/>
    </w:pPr>
    <w:rPr>
      <w:sz w:val="22"/>
      <w:szCs w:val="22"/>
      <w:lang w:eastAsia="en-US"/>
    </w:rPr>
  </w:style>
  <w:style w:type="character" w:styleId="769" w:default="1">
    <w:name w:val="Default Paragraph Font"/>
    <w:uiPriority w:val="1"/>
    <w:semiHidden/>
    <w:unhideWhenUsed/>
    <w:pPr>
      <w:pBdr/>
      <w:spacing/>
      <w:ind/>
    </w:pPr>
  </w:style>
  <w:style w:type="table" w:styleId="770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71" w:default="1">
    <w:name w:val="No List"/>
    <w:uiPriority w:val="99"/>
    <w:semiHidden/>
    <w:unhideWhenUsed/>
    <w:pPr>
      <w:pBdr/>
      <w:spacing/>
      <w:ind/>
    </w:pPr>
  </w:style>
  <w:style w:type="paragraph" w:styleId="772">
    <w:name w:val="List Paragraph"/>
    <w:basedOn w:val="768"/>
    <w:uiPriority w:val="34"/>
    <w:qFormat/>
    <w:pPr>
      <w:pBdr/>
      <w:spacing/>
      <w:ind w:left="720"/>
      <w:contextualSpacing w:val="true"/>
    </w:pPr>
  </w:style>
  <w:style w:type="table" w:styleId="773">
    <w:name w:val="Table Grid"/>
    <w:basedOn w:val="770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74" w:customStyle="1">
    <w:name w:val="ConsPlusNormal"/>
    <w:pPr>
      <w:widowControl w:val="false"/>
      <w:pBdr/>
      <w:spacing/>
      <w:ind w:firstLine="720"/>
    </w:pPr>
    <w:rPr>
      <w:rFonts w:ascii="Arial" w:hAnsi="Arial" w:eastAsia="Times New Roman" w:cs="Arial"/>
    </w:rPr>
  </w:style>
  <w:style w:type="paragraph" w:styleId="775">
    <w:name w:val="Header"/>
    <w:basedOn w:val="768"/>
    <w:link w:val="776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  <w:rPr>
      <w:sz w:val="20"/>
      <w:szCs w:val="20"/>
    </w:rPr>
  </w:style>
  <w:style w:type="character" w:styleId="776" w:customStyle="1">
    <w:name w:val="Верхний колонтитул Знак"/>
    <w:link w:val="775"/>
    <w:uiPriority w:val="99"/>
    <w:pPr>
      <w:pBdr/>
      <w:spacing/>
      <w:ind/>
    </w:pPr>
    <w:rPr>
      <w:rFonts w:ascii="Calibri" w:hAnsi="Calibri" w:eastAsia="Calibri" w:cs="Times New Roman"/>
    </w:rPr>
  </w:style>
  <w:style w:type="paragraph" w:styleId="777">
    <w:name w:val="Footer"/>
    <w:basedOn w:val="768"/>
    <w:link w:val="778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778" w:customStyle="1">
    <w:name w:val="Нижний колонтитул Знак"/>
    <w:basedOn w:val="769"/>
    <w:link w:val="777"/>
    <w:uiPriority w:val="99"/>
    <w:pPr>
      <w:pBdr/>
      <w:spacing/>
      <w:ind/>
    </w:pPr>
  </w:style>
  <w:style w:type="paragraph" w:styleId="779">
    <w:name w:val="Balloon Text"/>
    <w:basedOn w:val="768"/>
    <w:link w:val="780"/>
    <w:uiPriority w:val="99"/>
    <w:semiHidden/>
    <w:unhideWhenUsed/>
    <w:pPr>
      <w:pBdr/>
      <w:spacing w:after="0" w:line="240" w:lineRule="auto"/>
      <w:ind/>
    </w:pPr>
    <w:rPr>
      <w:rFonts w:ascii="Tahoma" w:hAnsi="Tahoma"/>
      <w:sz w:val="16"/>
      <w:szCs w:val="16"/>
    </w:rPr>
  </w:style>
  <w:style w:type="character" w:styleId="780" w:customStyle="1">
    <w:name w:val="Текст выноски Знак"/>
    <w:link w:val="779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781" w:customStyle="1">
    <w:name w:val="ConsPlusCell"/>
    <w:uiPriority w:val="99"/>
    <w:pPr>
      <w:widowControl w:val="false"/>
      <w:pBdr/>
      <w:spacing/>
      <w:ind/>
    </w:pPr>
    <w:rPr>
      <w:rFonts w:ascii="Arial" w:hAnsi="Arial" w:eastAsia="Times New Roman" w:cs="Arial"/>
    </w:rPr>
  </w:style>
  <w:style w:type="paragraph" w:styleId="782" w:customStyle="1">
    <w:name w:val="ConsPlusNonformat"/>
    <w:pPr>
      <w:pBdr/>
      <w:spacing/>
      <w:ind/>
    </w:pPr>
    <w:rPr>
      <w:rFonts w:ascii="Courier New" w:hAnsi="Courier New" w:eastAsia="Times New Roman" w:cs="Courier New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BF4663-4B7C-460F-9B8B-CDC57EA96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revision>24</cp:revision>
  <dcterms:created xsi:type="dcterms:W3CDTF">2021-09-03T11:39:00Z</dcterms:created>
  <dcterms:modified xsi:type="dcterms:W3CDTF">2025-08-28T14:57:23Z</dcterms:modified>
</cp:coreProperties>
</file>