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tabs>
          <w:tab w:val="left" w:leader="none" w:pos="3969"/>
          <w:tab w:val="left" w:leader="none" w:pos="4395"/>
          <w:tab w:val="left" w:leader="none" w:pos="4536"/>
        </w:tabs>
        <w:spacing w:after="0"/>
        <w:ind w:right="538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норматив</w:t>
      </w:r>
      <w:r>
        <w:rPr>
          <w:rFonts w:ascii="Times New Roman" w:hAnsi="Times New Roman"/>
          <w:sz w:val="28"/>
          <w:szCs w:val="28"/>
        </w:rPr>
        <w:t xml:space="preserve">ов стоимости предоставления муниципальных услуг и выполнения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</w:t>
      </w:r>
      <w:r>
        <w:rPr>
          <w:rFonts w:ascii="Times New Roman" w:hAnsi="Times New Roman"/>
          <w:sz w:val="28"/>
          <w:szCs w:val="28"/>
          <w:highlight w:val="none"/>
        </w:rPr>
        <w:t xml:space="preserve">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музе</w:t>
      </w:r>
      <w:r>
        <w:rPr>
          <w:rFonts w:ascii="Times New Roman" w:hAnsi="Times New Roman"/>
          <w:sz w:val="28"/>
          <w:szCs w:val="28"/>
          <w:highlight w:val="none"/>
        </w:rPr>
        <w:t xml:space="preserve">ями</w:t>
      </w:r>
      <w:r>
        <w:rPr>
          <w:rFonts w:ascii="Times New Roman" w:hAnsi="Times New Roman"/>
          <w:sz w:val="28"/>
          <w:szCs w:val="28"/>
          <w:highlight w:val="none"/>
        </w:rPr>
        <w:t xml:space="preserve">, муниципальными библиотек</w:t>
      </w:r>
      <w:r>
        <w:rPr>
          <w:rFonts w:ascii="Times New Roman" w:hAnsi="Times New Roman"/>
          <w:sz w:val="28"/>
          <w:szCs w:val="28"/>
          <w:highlight w:val="none"/>
        </w:rPr>
        <w:t xml:space="preserve">ами</w:t>
      </w:r>
      <w:r>
        <w:rPr>
          <w:rFonts w:ascii="Times New Roman" w:hAnsi="Times New Roman"/>
          <w:sz w:val="28"/>
          <w:szCs w:val="28"/>
          <w:highlight w:val="none"/>
        </w:rPr>
        <w:t xml:space="preserve">, муниципальными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культурно-досугового типа в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образованиях </w:t>
      </w:r>
      <w:r>
        <w:rPr>
          <w:rFonts w:ascii="Times New Roman" w:hAnsi="Times New Roman"/>
          <w:sz w:val="28"/>
          <w:szCs w:val="28"/>
        </w:rPr>
        <w:t xml:space="preserve">Республик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Татарстан, используемых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left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00" w:lineRule="auto"/>
        <w:ind w:left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00" w:lineRule="auto"/>
        <w:ind w:left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left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тверд</w:t>
      </w:r>
      <w:r>
        <w:rPr>
          <w:rFonts w:ascii="Times New Roman" w:hAnsi="Times New Roman"/>
          <w:sz w:val="28"/>
          <w:szCs w:val="28"/>
        </w:rPr>
        <w:t xml:space="preserve">ить прилагаемые: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ормативы стоимости предоставлен</w:t>
      </w:r>
      <w:r>
        <w:rPr>
          <w:rFonts w:ascii="Times New Roman" w:hAnsi="Times New Roman"/>
          <w:sz w:val="28"/>
          <w:szCs w:val="28"/>
        </w:rPr>
        <w:t xml:space="preserve">ия муниципальных услуг и выполнения муниципальных работ муниципальными музеями в муниципальных образованиях Республики Татарстан, используемые при формировании межбюджетных отношений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Республике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нормативы </w:t>
      </w:r>
      <w:r>
        <w:rPr>
          <w:rFonts w:ascii="Times New Roman" w:hAnsi="Times New Roman"/>
          <w:sz w:val="28"/>
          <w:szCs w:val="28"/>
          <w:highlight w:val="none"/>
        </w:rPr>
        <w:t xml:space="preserve">стоимости предоставления муниципальных услуг и выполнения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библиотеками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 нормативное количество книговыдач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нормативы </w:t>
      </w:r>
      <w:r>
        <w:rPr>
          <w:rFonts w:ascii="Times New Roman" w:hAnsi="Times New Roman"/>
          <w:sz w:val="28"/>
          <w:szCs w:val="28"/>
          <w:highlight w:val="none"/>
        </w:rPr>
        <w:t xml:space="preserve">стоимости выполнения муниципальных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учреждениями культурно-досугового типа в муниципальных образованиях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нормативное количество культурно-досуговых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поправочные коэффиц</w:t>
      </w:r>
      <w:r>
        <w:rPr>
          <w:rFonts w:ascii="Times New Roman" w:hAnsi="Times New Roman"/>
          <w:sz w:val="28"/>
          <w:szCs w:val="28"/>
          <w:highlight w:val="none"/>
        </w:rPr>
        <w:t xml:space="preserve">иенты к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нормативам стоимости предоставления муниципальных услуг и выполнения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библиотеками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Республике Татарста</w:t>
      </w:r>
      <w:r>
        <w:rPr>
          <w:rFonts w:ascii="Times New Roman" w:hAnsi="Times New Roman"/>
          <w:sz w:val="28"/>
          <w:szCs w:val="28"/>
        </w:rPr>
        <w:t xml:space="preserve">н,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поправочные коэффициенты к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нормативам стоимости выполнения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учреждениями культурно-досугового типа 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  <w:tab w:val="left" w:leader="none" w:pos="1276"/>
        </w:tabs>
        <w:spacing w:after="0" w:line="312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18.</w:t>
      </w:r>
      <w:r>
        <w:rPr>
          <w:rFonts w:ascii="Times New Roman" w:hAnsi="Times New Roman"/>
          <w:sz w:val="28"/>
          <w:szCs w:val="28"/>
        </w:rPr>
        <w:t xml:space="preserve">09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 № </w:t>
      </w:r>
      <w:r>
        <w:rPr>
          <w:rFonts w:ascii="Times New Roman" w:hAnsi="Times New Roman"/>
          <w:sz w:val="28"/>
          <w:szCs w:val="28"/>
        </w:rPr>
        <w:t xml:space="preserve">802</w:t>
      </w:r>
      <w:r>
        <w:rPr>
          <w:rFonts w:ascii="Times New Roman" w:hAnsi="Times New Roman"/>
          <w:sz w:val="28"/>
          <w:szCs w:val="28"/>
        </w:rPr>
        <w:t xml:space="preserve"> «Об утверждении нормативов стоимости предоставления муниципальных ус</w:t>
      </w:r>
      <w:r>
        <w:rPr>
          <w:rFonts w:ascii="Times New Roman" w:hAnsi="Times New Roman"/>
          <w:sz w:val="28"/>
          <w:szCs w:val="28"/>
        </w:rPr>
        <w:t xml:space="preserve">луг и выполнения работ муниципальными музеями, муниципальными библиотеками, муниципальными учреждениями культурно-досугового типа в муниципальных образованиях Республике Татарстан, используемых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на 202</w:t>
      </w:r>
      <w:r>
        <w:rPr>
          <w:rFonts w:ascii="Times New Roman" w:hAnsi="Times New Roman"/>
          <w:sz w:val="28"/>
          <w:szCs w:val="28"/>
        </w:rPr>
        <w:t xml:space="preserve">5 год и на плановый период 2026 и 2027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8"/>
        <w:pBdr/>
        <w:spacing w:line="312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постановл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ение вступает в силу с 1 января               20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6 года.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Bdr/>
        <w:spacing w:after="0" w:line="300" w:lineRule="auto"/>
        <w:ind w:firstLine="851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00" w:lineRule="auto"/>
        <w:ind w:right="28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0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0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right="-1"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footerReference w:type="even" r:id="rId11"/>
          <w:footnotePr/>
          <w:endnotePr/>
          <w:type w:val="nextPage"/>
          <w:pgSz w:h="16838" w:orient="portrait" w:w="11906"/>
          <w:pgMar w:top="993" w:right="567" w:bottom="1135" w:left="1134" w:header="709" w:footer="4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</w:t>
      </w:r>
      <w:r>
        <w:rPr>
          <w:rFonts w:ascii="Times New Roman" w:hAnsi="Times New Roman"/>
          <w:sz w:val="28"/>
          <w:szCs w:val="28"/>
        </w:rPr>
        <w:t xml:space="preserve">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стоимости предоставления муниципальных услуг и выполнения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музеями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93" w:type="dxa"/>
        <w:tblW w:w="9967" w:type="dxa"/>
        <w:tblBorders/>
        <w:tblLook w:val="04A0" w:firstRow="1" w:lastRow="0" w:firstColumn="1" w:lastColumn="0" w:noHBand="0" w:noVBand="1"/>
      </w:tblPr>
      <w:tblGrid>
        <w:gridCol w:w="5005"/>
        <w:gridCol w:w="1701"/>
        <w:gridCol w:w="1560"/>
        <w:gridCol w:w="1701"/>
      </w:tblGrid>
      <w:tr>
        <w:trPr>
          <w:trHeight w:val="73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Норматив стоимости муниципальных услуг и работ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одного жителя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/населенного пункта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, рублей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7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свыше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50,99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56,09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61,70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60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до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88,68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97,54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107,30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численностью свыше 200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66,51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73,16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80,47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Городское поселение с численностью от 140 до 200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141,89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156,07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171,67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Городское поселение с численностью от 95 до 140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143,00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157,29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173,01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ородское поселение с численностью от 60 до 95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144,11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158,51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174,36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ородское поселение с численностью от 50 до 60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121,94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134,12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147,53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ородское поселение с численностью до 50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127,48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140,22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154,24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ородское поселение с численностью до 50 тыс. человек, образованное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основе поселков городского типа, имеющих право на установление специалистам организаций бюджетной сферы выплаты за работу в сельской местности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152,83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167,81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184,26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аселенный пункт сельского поселения с численностью свыше 500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111,24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122,12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134,09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аселенный пункт сельского поселения с численностью до 500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116,08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127,43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139,92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851" w:right="567" w:bottom="1135" w:left="1134" w:header="709" w:footer="4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091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</w:t>
      </w:r>
      <w:r>
        <w:rPr>
          <w:rFonts w:ascii="Times New Roman" w:hAnsi="Times New Roman"/>
          <w:sz w:val="28"/>
          <w:szCs w:val="28"/>
        </w:rPr>
        <w:t xml:space="preserve">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орматив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стоимости предоставления муниципальных услуг и выполне</w:t>
      </w:r>
      <w:r>
        <w:rPr>
          <w:rFonts w:ascii="Times New Roman" w:hAnsi="Times New Roman"/>
          <w:sz w:val="28"/>
          <w:szCs w:val="28"/>
          <w:highlight w:val="none"/>
        </w:rPr>
        <w:t xml:space="preserve">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библиотеками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 нормативное количество книговыдач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1843"/>
        <w:gridCol w:w="1843"/>
        <w:gridCol w:w="1701"/>
        <w:gridCol w:w="1559"/>
        <w:gridCol w:w="1417"/>
        <w:gridCol w:w="1531"/>
      </w:tblGrid>
      <w:tr>
        <w:trPr>
          <w:trHeight w:val="735"/>
          <w:tblHeader/>
        </w:trPr>
        <w:tc>
          <w:tcPr>
            <w:shd w:val="clear" w:color="auto" w:fill="auto"/>
            <w:tcBorders/>
            <w:tcW w:w="510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989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Норматив стоимости муниципальных услуг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и работ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книговыдачу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 нормативное количество книговыдач на одного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жителя муниципального образования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Республики Татарстан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04"/>
          <w:tblHeader/>
        </w:trPr>
        <w:tc>
          <w:tcPr>
            <w:shd w:val="clear" w:color="auto" w:fill="auto"/>
            <w:tcBorders/>
            <w:tcW w:w="5101" w:type="dxa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36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/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/>
            <w:tcW w:w="29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71"/>
          <w:tblHeader/>
        </w:trPr>
        <w:tc>
          <w:tcPr>
            <w:shd w:val="clear" w:color="auto" w:fill="auto"/>
            <w:tcBorders/>
            <w:tcW w:w="51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книговыдач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книговыдач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книговыдач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/>
            <w:tcW w:w="51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/>
            <w:tcW w:w="184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3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green"/>
                <w:lang w:eastAsia="ru-RU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свыше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70,90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77,98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85,76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до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70,90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77,98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85,76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свыше 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70,90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4,84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77,98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4,84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85,76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4,84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120 до 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68,54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7,69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75,32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7,69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82,78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7,69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8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до 120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68,54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75,32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82,78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до 8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68,54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8,55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75,32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8,55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82,78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8,55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50 до 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70,04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13,03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76,97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13,03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84,59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13,03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33 до 50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70,04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76,97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84,59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13,13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28 до 33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70,04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13,31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76,97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13,31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84,59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13,31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16 до 28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70,04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76,97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84,59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14 до 16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79,02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16,10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86,82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16,10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95,40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16,10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51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до 14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  <w:t xml:space="preserve">79,02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19,21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86,82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19,21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95,40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tcBorders/>
            <w:tcW w:w="15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19,21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709" w:bottom="567" w:left="1135" w:header="709" w:footer="4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1482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</w:t>
      </w:r>
      <w:r>
        <w:rPr>
          <w:rFonts w:ascii="Times New Roman" w:hAnsi="Times New Roman"/>
          <w:sz w:val="28"/>
          <w:szCs w:val="28"/>
        </w:rPr>
        <w:t xml:space="preserve">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  <w:t xml:space="preserve">орматив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стоимости выполнения муниципальных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учреждениями культурно-досугового типа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нормативное количество культурно-досуговых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5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25"/>
        <w:gridCol w:w="2188"/>
        <w:gridCol w:w="1454"/>
        <w:gridCol w:w="1644"/>
        <w:gridCol w:w="1454"/>
        <w:gridCol w:w="1408"/>
        <w:gridCol w:w="1631"/>
      </w:tblGrid>
      <w:tr>
        <w:trPr>
          <w:trHeight w:val="735"/>
          <w:tblHeader/>
        </w:trPr>
        <w:tc>
          <w:tcPr>
            <w:shd w:val="clear" w:color="auto" w:fill="auto"/>
            <w:tcBorders/>
            <w:tcW w:w="1805" w:type="pct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319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Норматив стоимости муниципаль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ных работ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 одно 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нормативное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культурно-досуговых мероприятий на 1000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жителей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Республики Татарстан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04"/>
          <w:tblHeader/>
        </w:trPr>
        <w:tc>
          <w:tcPr>
            <w:shd w:val="clear" w:color="auto" w:fill="auto"/>
            <w:tcBorders/>
            <w:tcW w:w="1805" w:type="pct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190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/>
            <w:tcW w:w="101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/>
            <w:tcW w:w="9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71"/>
          <w:tblHeader/>
        </w:trPr>
        <w:tc>
          <w:tcPr>
            <w:shd w:val="clear" w:color="auto" w:fill="auto"/>
            <w:tcBorders/>
            <w:tcW w:w="180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культурно-досуговых мероприятий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культурно-досуговых мероприятий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орматив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стоимости,</w:t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 рублей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нормативное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  <w:t xml:space="preserve">культурно-досуговых мероприятий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416"/>
        </w:trPr>
        <w:tc>
          <w:tcPr>
            <w:shd w:val="clear" w:color="ffffff" w:fill="ffffff"/>
            <w:tcBorders/>
            <w:tcW w:w="180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715" w:type="pct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47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53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47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46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534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свыше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694,23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13,92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37 056,96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13,92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40 756,92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13,92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ородской округ с числен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остью до 1000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694,23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6,15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37 056,96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6,15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40 756,92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6,15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свыше 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694,23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37 056,96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40 756,92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13,16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120 до 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31 175,42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31,00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34 319,48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31,00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37 652,95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31,00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8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до 120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31 175,42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33,50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34 319,48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33,50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37 652,95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33,50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07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до 8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31 175,42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34 319,48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37 652,95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50 до 6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30 085,60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33 062,82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36 338,83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33 до 50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30 085,60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33 062,82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36 338,83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64,50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28 до 33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30 085,60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75,00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33 062,82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75,00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36 338,83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75,00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16 до 28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30 085,60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82,00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33 062,82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82,00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36 338,83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82,00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от 14 до 16 тыс. человек 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31 624,44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110,00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34 740,67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110,00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38 169,84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  <w:lang w:eastAsia="ru-RU"/>
              </w:rPr>
              <w:t xml:space="preserve">110,00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highlight w:val="none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1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униципальный район с численностью до 14 тыс. человек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15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ru-RU"/>
              </w:rPr>
              <w:t xml:space="preserve">31 624,44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160,2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53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34 740,67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4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160,2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6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  <w:t xml:space="preserve">38 169,84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 w:bidi="undefined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val="undefined"/>
              </w:rPr>
            </w:r>
          </w:p>
        </w:tc>
        <w:tc>
          <w:tcPr>
            <w:tcBorders/>
            <w:tcW w:w="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  <w:t xml:space="preserve">160,2</w:t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993" w:bottom="567" w:left="709" w:header="709" w:footer="4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</w:t>
      </w:r>
      <w:r>
        <w:rPr>
          <w:rFonts w:ascii="Times New Roman" w:hAnsi="Times New Roman"/>
          <w:sz w:val="28"/>
          <w:szCs w:val="28"/>
        </w:rPr>
        <w:t xml:space="preserve">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оправочные коэффициенты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нормативам стоимости предоставления муниципальных услуг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и выполнени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библиотеками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образованиях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спользуемы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Республике Татарстан,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 2026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93" w:type="dxa"/>
        <w:tblW w:w="9825" w:type="dxa"/>
        <w:tblBorders/>
        <w:tblLayout w:type="fixed"/>
        <w:tblLook w:val="04A0" w:firstRow="1" w:lastRow="0" w:firstColumn="1" w:lastColumn="0" w:noHBand="0" w:noVBand="1"/>
      </w:tblPr>
      <w:tblGrid>
        <w:gridCol w:w="5431"/>
        <w:gridCol w:w="1562"/>
        <w:gridCol w:w="1556"/>
        <w:gridCol w:w="1276"/>
      </w:tblGrid>
      <w:tr>
        <w:trPr>
          <w:trHeight w:val="37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3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Наименова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ние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униципально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 района (городского округа)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Поправочный коэффициент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Align w:val="bottom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Агрызский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1,100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1,080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29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Азнакаевский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1,079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1,062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1,045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Аксубаевский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1,864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1,842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1,820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Актанышский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1,187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1,167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1,146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Алексеевский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1,699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1,678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1,656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Алькеевский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2,377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2,344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2,311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Альметьевский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1,160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1,145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1,130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Апастовский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1,647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1,600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1,604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1,576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1,548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Атнинский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1,438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1,417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1,397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Бавлинский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1,643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1,622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1,602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Балтасинский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1,128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1,112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1,095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Бугульминский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1,282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1,267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1,252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1,484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1,460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1,434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Верхнеуслонский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2,324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2,289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2,253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Высокогорский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1,349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1,329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Дрожжановский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1,846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1,814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1,784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Елабужский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1,125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1,108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1,091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1,309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1,291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1,272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Зеленодольский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1,185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1,168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Кайбицкий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1,998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1,970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1,943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Камско-Устьинский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1,297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1,283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1,270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Кукморский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1,350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1,335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Лаишевский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0,921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0,908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0,894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Лениногорский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1,857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1,835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1,812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Мамадышский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1,985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1,958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1,932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Менделеевский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1,031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1,018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1,004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Мензелинский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1,433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1,411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1,389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Муслюмовский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1,539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1,512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1,485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Нижнекамский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2,109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2,076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2,047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Новошешминский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1,549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1,522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1,495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Нурлатский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1,177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1,158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1,139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Пестречинский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0,941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0,925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0,909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Рыбно-Слободский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1,979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1,951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Сабинский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1,618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1,593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1,569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Сармановский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1,350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1,332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Спасский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1,870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1,851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1,832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Тетюшский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2,272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2,243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2,214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Тукаевский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0,863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0,852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0,838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Тюлячинский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1,548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1,530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1,511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Черемшанский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2,070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2,045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2,021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Чистопольский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1,343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1,327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Ютазинский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1,353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1,335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 Казань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1,183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1,160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1,138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 Набережные Челны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1,276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1,252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1,230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</w:tbl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850" w:bottom="1560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2025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оправочные </w:t>
      </w:r>
      <w:r>
        <w:rPr>
          <w:rFonts w:ascii="Times New Roman" w:hAnsi="Times New Roman"/>
          <w:sz w:val="28"/>
          <w:szCs w:val="28"/>
          <w:highlight w:val="none"/>
        </w:rPr>
        <w:t xml:space="preserve">коэффициенты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нормативам стоимости выполнения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учреждениями культурно-досугового типа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Татарстан,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2026 год </w:t>
      </w:r>
      <w:r>
        <w:rPr>
          <w:rFonts w:ascii="Times New Roman" w:hAnsi="Times New Roman"/>
          <w:sz w:val="28"/>
          <w:szCs w:val="28"/>
          <w:highlight w:val="none"/>
        </w:rPr>
        <w:t xml:space="preserve">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93" w:type="dxa"/>
        <w:tblW w:w="9825" w:type="dxa"/>
        <w:tblBorders/>
        <w:tblLook w:val="04A0" w:firstRow="1" w:lastRow="0" w:firstColumn="1" w:lastColumn="0" w:noHBand="0" w:noVBand="1"/>
      </w:tblPr>
      <w:tblGrid>
        <w:gridCol w:w="5431"/>
        <w:gridCol w:w="1701"/>
        <w:gridCol w:w="1345"/>
        <w:gridCol w:w="1348"/>
      </w:tblGrid>
      <w:tr>
        <w:trPr>
          <w:trHeight w:val="37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31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Наименова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ние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униципально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 района (городского округа)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Поправочный коэффициент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Агрызский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1,432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1,408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1,389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46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Азнакаевский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1,877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1,850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1,827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Аксубаевский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1,359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1,344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1,333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Актанышский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2,036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1,981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Алексеевский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1,506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1,486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1,465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Алькеевский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2,472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2,438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2,413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Альметьевский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1,626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1,591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Апастовский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2,084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2,059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2,042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1,746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1,715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1,688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Атнинский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1,467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1,446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1,428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Бавлинский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1,949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center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Балтасинский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1,336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1,317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1,303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Бугульминский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2,040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2,015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2,001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2,050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2,018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1,992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Верхнеуслонский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2,392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2,355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2,319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Высокогорский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1,416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1,392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1,375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Дрожжановский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2,204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2,168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2,140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Елабужский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1,772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1,741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1,719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1,404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1,387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1,375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Зеленодольский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1,394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1,368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1,350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Кайбицкий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1,324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1,286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Камско-Устьинский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1,832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1,813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1,796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Кукморский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1,911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1,891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1,878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Лаишевский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0,771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0,760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0,752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Лениногорский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0,926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0,910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0,898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Мамадышский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2,253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2,203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Менделеевский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1,528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1,510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1,495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Мензелинский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1,314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1,295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1,279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Муслюмовский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2,121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2,087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2,062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Нижнекамский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1,858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1,827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1,804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Новошешминский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1,424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1,401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1,382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Нурлатский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1,715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1,684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1,659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Пестречинский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0,718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0,703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0,692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Рыбно-Слободский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1,492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1,470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1,453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Сабинский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2,252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2,213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2,183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Сармановский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1,907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1,885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1,868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Спасский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1,648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1,602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Тетюшский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1,899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1,875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1,855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Тукаевский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1,158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1,142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1,129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Тюлячинский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1,136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1,124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1,113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Черемшанский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2,907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2,867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2,834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Чистопольский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1,436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1,417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1,405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Ютазинский муниципальный район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1,827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1,802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1,777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 Казань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1,886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1,811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1,742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1" w:type="dxa"/>
            <w:vAlign w:val="bottom"/>
            <w:textDirection w:val="lrTb"/>
            <w:noWrap/>
          </w:tcPr>
          <w:p>
            <w:pPr>
              <w:pBdr/>
              <w:spacing w:after="0" w:afterAutospacing="0" w:line="288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 Набережные Челны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2,173</w:t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2,134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  <w:t xml:space="preserve">2,100</w:t>
            </w:r>
            <w:r>
              <w:rPr>
                <w:rFonts w:ascii="Times New Roman" w:hAnsi="Times New Roman" w:eastAsia="Times New Roman"/>
                <w:sz w:val="28"/>
                <w:szCs w:val="28"/>
                <w:lang w:val="undefined"/>
              </w:rPr>
            </w:r>
          </w:p>
        </w:tc>
      </w:tr>
    </w:tbl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Bdr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 w:after="0"/>
        <w:ind w:right="-284" w:left="0"/>
        <w:jc w:val="center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850" w:bottom="1560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 w:after="0"/>
        <w:ind w:right="-284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sz w:val="28"/>
          <w:szCs w:val="28"/>
        </w:rPr>
        <w:t xml:space="preserve">постановлен</w:t>
      </w:r>
      <w:r>
        <w:rPr>
          <w:rFonts w:ascii="Times New Roman" w:hAnsi="Times New Roman"/>
          <w:b/>
          <w:sz w:val="28"/>
          <w:szCs w:val="28"/>
        </w:rPr>
        <w:t xml:space="preserve">ия Кабинета Министров Республики Татарстан                         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нормативов стоимости предоставления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муниципальных услуг и выполнения работ музеями, библиотеками, учреждениями культурно-досугового типа в Республике Татарстан, используемых при формировании межбюджетных отношений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Республике Татарстан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на 2026 год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на плановый период 2027 и 2028 годов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 w:after="0"/>
        <w:ind w:right="-1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нормативов стоимости предоставления муниципальных услуг и выполнения работ музеями, библиотеками, учреждениями культурно-досугового типа в Республике Татарстан, используемых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разработа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 xml:space="preserve">в рамках реализации графика </w:t>
      </w:r>
      <w:r>
        <w:rPr>
          <w:rFonts w:ascii="Times New Roman" w:hAnsi="Times New Roman"/>
          <w:sz w:val="28"/>
          <w:szCs w:val="28"/>
        </w:rPr>
        <w:t xml:space="preserve">разработки </w:t>
      </w:r>
      <w:r>
        <w:rPr>
          <w:rFonts w:ascii="Times New Roman" w:hAnsi="Times New Roman"/>
          <w:sz w:val="28"/>
          <w:szCs w:val="28"/>
        </w:rPr>
        <w:t xml:space="preserve">нормативн</w:t>
      </w:r>
      <w:r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 xml:space="preserve">правовых актов</w:t>
      </w:r>
      <w:r>
        <w:rPr>
          <w:rFonts w:ascii="Times New Roman" w:hAnsi="Times New Roman"/>
          <w:sz w:val="28"/>
          <w:szCs w:val="28"/>
        </w:rPr>
        <w:t xml:space="preserve"> Республики Татарстан об </w:t>
      </w:r>
      <w:r>
        <w:rPr>
          <w:rFonts w:ascii="Times New Roman" w:hAnsi="Times New Roman"/>
          <w:sz w:val="28"/>
          <w:szCs w:val="28"/>
        </w:rPr>
        <w:t xml:space="preserve">утвержд</w:t>
      </w:r>
      <w:r>
        <w:rPr>
          <w:rFonts w:ascii="Times New Roman" w:hAnsi="Times New Roman"/>
          <w:sz w:val="28"/>
          <w:szCs w:val="28"/>
        </w:rPr>
        <w:t xml:space="preserve">ении</w:t>
      </w:r>
      <w:r>
        <w:rPr>
          <w:rFonts w:ascii="Times New Roman" w:hAnsi="Times New Roman"/>
          <w:sz w:val="28"/>
          <w:szCs w:val="28"/>
        </w:rPr>
        <w:t xml:space="preserve"> норматив</w:t>
      </w:r>
      <w:r>
        <w:rPr>
          <w:rFonts w:ascii="Times New Roman" w:hAnsi="Times New Roman"/>
          <w:sz w:val="28"/>
          <w:szCs w:val="28"/>
        </w:rPr>
        <w:t xml:space="preserve">ных</w:t>
      </w:r>
      <w:r>
        <w:rPr>
          <w:rFonts w:ascii="Times New Roman" w:hAnsi="Times New Roman"/>
          <w:sz w:val="28"/>
          <w:szCs w:val="28"/>
        </w:rPr>
        <w:t xml:space="preserve"> затрат</w:t>
      </w:r>
      <w:r>
        <w:rPr>
          <w:rFonts w:ascii="Times New Roman" w:hAnsi="Times New Roman"/>
          <w:sz w:val="28"/>
          <w:szCs w:val="28"/>
        </w:rPr>
        <w:t xml:space="preserve"> для расчета финансового обеспечения выполнения государственного (муниципального) задания государственными (муниципальными) учреждениями</w:t>
      </w:r>
      <w:r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pBdr/>
        <w:spacing w:after="0"/>
        <w:ind w:right="-1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устанавливаются: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right="-1" w:firstLine="709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ормативы стоимости предоставлен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я муниципальных услуг и выполнения муниципальных работ муниципальными музеями в муниципальных образованиях Республики Татарстан, используемые при формировании межбюджетных отношений в Республике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right="-1" w:firstLine="709" w:left="0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нормативы стоимости предоставления муниципальных услуг и выполнения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библиотеками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 нормативное количество книговыдач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right="-1" w:firstLine="709" w:left="0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нормативы стоимости выполнения муниципальных работ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учреждениями культурно-досугового типа в муниципальных образованиях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нормативное количество культурно-досуговых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используемые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right="-1" w:firstLine="709" w:left="0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поправочные коэффициенты к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нормативам стоимости предоставления муниципальных услуг и выполнения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библиотеками </w:t>
      </w:r>
      <w:r>
        <w:rPr>
          <w:rFonts w:ascii="Times New Roman" w:hAnsi="Times New Roman"/>
          <w:sz w:val="28"/>
          <w:szCs w:val="28"/>
          <w:highlight w:val="none"/>
        </w:rPr>
        <w:t xml:space="preserve">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right="0" w:firstLine="709" w:left="0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поправочные коэффициенты к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нормативам стоимости выполнения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муниципальными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учреждениями культурно-досугового типа 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используемы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при формировании межбюджетных отношений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Республике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0"/>
        <w:pBdr/>
        <w:spacing w:after="0"/>
        <w:ind w:right="-1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указанного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</w:t>
      </w:r>
      <w:r>
        <w:rPr>
          <w:rFonts w:ascii="Times New Roman" w:hAnsi="Times New Roman"/>
          <w:sz w:val="28"/>
          <w:szCs w:val="28"/>
          <w:highlight w:val="none"/>
        </w:rPr>
        <w:t xml:space="preserve">ения не потребует выделени</w:t>
      </w:r>
      <w:r>
        <w:rPr>
          <w:rFonts w:ascii="Times New Roman" w:hAnsi="Times New Roman"/>
          <w:sz w:val="28"/>
          <w:szCs w:val="28"/>
        </w:rPr>
        <w:t xml:space="preserve">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line="293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80"/>
        <w:pBdr/>
        <w:spacing w:after="0"/>
        <w:ind w:right="-1"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560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 w:firstLine="6095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Директор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83"/>
      <w:pBdr/>
      <w:spacing/>
      <w:ind w:firstLine="6095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___________ А.Н. Кудрявцева 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83"/>
      <w:pBdr/>
      <w:spacing/>
      <w:ind w:firstLine="6095"/>
      <w:jc w:val="right"/>
      <w:rPr>
        <w:sz w:val="20"/>
      </w:rPr>
    </w:pPr>
    <w:r>
      <w:rPr>
        <w:rFonts w:ascii="Times New Roman" w:hAnsi="Times New Roman"/>
        <w:sz w:val="20"/>
        <w:szCs w:val="20"/>
      </w:rPr>
      <w:t xml:space="preserve">«____</w:t>
    </w:r>
    <w:r>
      <w:rPr>
        <w:rFonts w:ascii="Times New Roman" w:hAnsi="Times New Roman"/>
        <w:sz w:val="20"/>
        <w:szCs w:val="20"/>
      </w:rPr>
      <w:t xml:space="preserve">_» </w:t>
    </w:r>
    <w:r>
      <w:rPr>
        <w:rFonts w:ascii="Times New Roman" w:hAnsi="Times New Roman"/>
        <w:sz w:val="20"/>
        <w:szCs w:val="20"/>
      </w:rPr>
      <w:t xml:space="preserve"> декабря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2010</w:t>
    </w:r>
    <w:r>
      <w:rPr>
        <w:sz w:val="20"/>
      </w:rPr>
      <w:t xml:space="preserve"> г.</w:t>
    </w:r>
    <w:r>
      <w:rPr>
        <w:sz w:val="20"/>
      </w:rPr>
    </w:r>
    <w:r>
      <w:rPr>
        <w:sz w:val="20"/>
      </w:rPr>
    </w:r>
  </w:p>
  <w:p>
    <w:pPr>
      <w:pStyle w:val="983"/>
      <w:pBdr/>
      <w:spacing/>
      <w:ind/>
      <w:rPr/>
    </w:pPr>
    <w:r/>
    <w:r/>
  </w:p>
  <w:p>
    <w:pPr>
      <w:pStyle w:val="9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4E72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">
    <w:nsid w:val="22F7188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A04B1D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3">
    <w:nsid w:val="32AB774F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nsid w:val="38002A07"/>
    <w:lvl w:ilvl="0">
      <w:isLgl w:val="false"/>
      <w:lvlJc w:val="left"/>
      <w:lvlText w:val="%1."/>
      <w:numFmt w:val="decimal"/>
      <w:pPr>
        <w:pBdr/>
        <w:spacing/>
        <w:ind w:hanging="885" w:left="1425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nsid w:val="399543F0"/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6">
    <w:nsid w:val="4799053E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nsid w:val="495B728E"/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8">
    <w:nsid w:val="51491342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9">
    <w:nsid w:val="54546B8B"/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0">
    <w:nsid w:val="5566634D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nsid w:val="5A0C5958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2">
    <w:nsid w:val="5A604B5F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nsid w:val="64F5564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4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Heading 1"/>
    <w:basedOn w:val="976"/>
    <w:next w:val="976"/>
    <w:link w:val="9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0">
    <w:name w:val="Heading 2"/>
    <w:basedOn w:val="976"/>
    <w:next w:val="976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1">
    <w:name w:val="Heading 3"/>
    <w:basedOn w:val="976"/>
    <w:next w:val="976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2">
    <w:name w:val="Heading 4"/>
    <w:basedOn w:val="976"/>
    <w:next w:val="976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3">
    <w:name w:val="Heading 5"/>
    <w:basedOn w:val="976"/>
    <w:next w:val="976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4">
    <w:name w:val="Heading 6"/>
    <w:basedOn w:val="976"/>
    <w:next w:val="976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5">
    <w:name w:val="Heading 7"/>
    <w:basedOn w:val="976"/>
    <w:next w:val="976"/>
    <w:link w:val="93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6">
    <w:name w:val="Heading 8"/>
    <w:basedOn w:val="976"/>
    <w:next w:val="976"/>
    <w:link w:val="9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6"/>
    <w:next w:val="976"/>
    <w:link w:val="93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2 Char"/>
    <w:basedOn w:val="977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0">
    <w:name w:val="Heading 3 Char"/>
    <w:basedOn w:val="977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1">
    <w:name w:val="Heading 4 Char"/>
    <w:basedOn w:val="977"/>
    <w:link w:val="9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2">
    <w:name w:val="Heading 5 Char"/>
    <w:basedOn w:val="977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3">
    <w:name w:val="Heading 6 Char"/>
    <w:basedOn w:val="977"/>
    <w:link w:val="9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4">
    <w:name w:val="Heading 7 Char"/>
    <w:basedOn w:val="977"/>
    <w:link w:val="9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5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6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Title"/>
    <w:basedOn w:val="976"/>
    <w:next w:val="976"/>
    <w:link w:val="93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8">
    <w:name w:val="Title Char"/>
    <w:basedOn w:val="977"/>
    <w:link w:val="9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9">
    <w:name w:val="Subtitle"/>
    <w:basedOn w:val="976"/>
    <w:next w:val="976"/>
    <w:link w:val="94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0">
    <w:name w:val="Subtitle Char"/>
    <w:basedOn w:val="977"/>
    <w:link w:val="9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1">
    <w:name w:val="Quote"/>
    <w:basedOn w:val="976"/>
    <w:next w:val="976"/>
    <w:link w:val="9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2">
    <w:name w:val="Quote Char"/>
    <w:basedOn w:val="977"/>
    <w:link w:val="9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4">
    <w:name w:val="Intense Quote"/>
    <w:basedOn w:val="976"/>
    <w:next w:val="976"/>
    <w:link w:val="9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5">
    <w:name w:val="Intense Quote Char"/>
    <w:basedOn w:val="977"/>
    <w:link w:val="9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6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7">
    <w:name w:val="No Spacing"/>
    <w:basedOn w:val="976"/>
    <w:uiPriority w:val="1"/>
    <w:qFormat/>
    <w:pPr>
      <w:pBdr/>
      <w:spacing w:after="0" w:line="240" w:lineRule="auto"/>
      <w:ind/>
    </w:pPr>
  </w:style>
  <w:style w:type="character" w:styleId="948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9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50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51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2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3">
    <w:name w:val="Header Char"/>
    <w:basedOn w:val="977"/>
    <w:link w:val="981"/>
    <w:uiPriority w:val="99"/>
    <w:pPr>
      <w:pBdr/>
      <w:spacing/>
      <w:ind/>
    </w:pPr>
  </w:style>
  <w:style w:type="character" w:styleId="954">
    <w:name w:val="Footer Char"/>
    <w:basedOn w:val="977"/>
    <w:link w:val="983"/>
    <w:uiPriority w:val="99"/>
    <w:pPr>
      <w:pBdr/>
      <w:spacing/>
      <w:ind/>
    </w:pPr>
  </w:style>
  <w:style w:type="paragraph" w:styleId="955">
    <w:name w:val="Caption"/>
    <w:basedOn w:val="976"/>
    <w:next w:val="9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6">
    <w:name w:val="footnote text"/>
    <w:basedOn w:val="976"/>
    <w:link w:val="95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7">
    <w:name w:val="Footnote Text Char"/>
    <w:basedOn w:val="977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958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976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>
    <w:name w:val="Endnote Text Char"/>
    <w:basedOn w:val="977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62">
    <w:name w:val="Hyperlink"/>
    <w:basedOn w:val="9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4">
    <w:name w:val="toc 1"/>
    <w:basedOn w:val="976"/>
    <w:next w:val="976"/>
    <w:uiPriority w:val="39"/>
    <w:unhideWhenUsed/>
    <w:pPr>
      <w:pBdr/>
      <w:spacing w:after="100"/>
      <w:ind/>
    </w:pPr>
  </w:style>
  <w:style w:type="paragraph" w:styleId="965">
    <w:name w:val="toc 2"/>
    <w:basedOn w:val="976"/>
    <w:next w:val="976"/>
    <w:uiPriority w:val="39"/>
    <w:unhideWhenUsed/>
    <w:pPr>
      <w:pBdr/>
      <w:spacing w:after="100"/>
      <w:ind w:left="220"/>
    </w:pPr>
  </w:style>
  <w:style w:type="paragraph" w:styleId="966">
    <w:name w:val="toc 3"/>
    <w:basedOn w:val="976"/>
    <w:next w:val="976"/>
    <w:uiPriority w:val="39"/>
    <w:unhideWhenUsed/>
    <w:pPr>
      <w:pBdr/>
      <w:spacing w:after="100"/>
      <w:ind w:left="440"/>
    </w:pPr>
  </w:style>
  <w:style w:type="paragraph" w:styleId="967">
    <w:name w:val="toc 4"/>
    <w:basedOn w:val="976"/>
    <w:next w:val="976"/>
    <w:uiPriority w:val="39"/>
    <w:unhideWhenUsed/>
    <w:pPr>
      <w:pBdr/>
      <w:spacing w:after="100"/>
      <w:ind w:left="660"/>
    </w:pPr>
  </w:style>
  <w:style w:type="paragraph" w:styleId="968">
    <w:name w:val="toc 5"/>
    <w:basedOn w:val="976"/>
    <w:next w:val="976"/>
    <w:uiPriority w:val="39"/>
    <w:unhideWhenUsed/>
    <w:pPr>
      <w:pBdr/>
      <w:spacing w:after="100"/>
      <w:ind w:left="880"/>
    </w:pPr>
  </w:style>
  <w:style w:type="paragraph" w:styleId="969">
    <w:name w:val="toc 6"/>
    <w:basedOn w:val="976"/>
    <w:next w:val="976"/>
    <w:uiPriority w:val="39"/>
    <w:unhideWhenUsed/>
    <w:pPr>
      <w:pBdr/>
      <w:spacing w:after="100"/>
      <w:ind w:left="1100"/>
    </w:pPr>
  </w:style>
  <w:style w:type="paragraph" w:styleId="970">
    <w:name w:val="toc 7"/>
    <w:basedOn w:val="976"/>
    <w:next w:val="976"/>
    <w:uiPriority w:val="39"/>
    <w:unhideWhenUsed/>
    <w:pPr>
      <w:pBdr/>
      <w:spacing w:after="100"/>
      <w:ind w:left="1320"/>
    </w:pPr>
  </w:style>
  <w:style w:type="paragraph" w:styleId="971">
    <w:name w:val="toc 8"/>
    <w:basedOn w:val="976"/>
    <w:next w:val="976"/>
    <w:uiPriority w:val="39"/>
    <w:unhideWhenUsed/>
    <w:pPr>
      <w:pBdr/>
      <w:spacing w:after="100"/>
      <w:ind w:left="1540"/>
    </w:pPr>
  </w:style>
  <w:style w:type="paragraph" w:styleId="972">
    <w:name w:val="toc 9"/>
    <w:basedOn w:val="976"/>
    <w:next w:val="976"/>
    <w:uiPriority w:val="39"/>
    <w:unhideWhenUsed/>
    <w:pPr>
      <w:pBdr/>
      <w:spacing w:after="100"/>
      <w:ind w:left="1760"/>
    </w:pPr>
  </w:style>
  <w:style w:type="character" w:styleId="973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6"/>
    <w:next w:val="976"/>
    <w:uiPriority w:val="99"/>
    <w:unhideWhenUsed/>
    <w:pPr>
      <w:pBdr/>
      <w:spacing w:after="0" w:afterAutospacing="0"/>
      <w:ind/>
    </w:pPr>
  </w:style>
  <w:style w:type="paragraph" w:styleId="976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77" w:default="1">
    <w:name w:val="Default Paragraph Font"/>
    <w:uiPriority w:val="1"/>
    <w:semiHidden/>
    <w:unhideWhenUsed/>
    <w:pPr>
      <w:pBdr/>
      <w:spacing/>
      <w:ind/>
    </w:pPr>
  </w:style>
  <w:style w:type="table" w:styleId="9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uiPriority w:val="99"/>
    <w:semiHidden/>
    <w:unhideWhenUsed/>
    <w:pPr>
      <w:pBdr/>
      <w:spacing/>
      <w:ind/>
    </w:pPr>
  </w:style>
  <w:style w:type="paragraph" w:styleId="980">
    <w:name w:val="List Paragraph"/>
    <w:basedOn w:val="976"/>
    <w:uiPriority w:val="34"/>
    <w:qFormat/>
    <w:pPr>
      <w:pBdr/>
      <w:spacing/>
      <w:ind w:left="720"/>
      <w:contextualSpacing w:val="true"/>
    </w:pPr>
  </w:style>
  <w:style w:type="paragraph" w:styleId="981">
    <w:name w:val="Header"/>
    <w:basedOn w:val="976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Верхний колонтитул Знак"/>
    <w:basedOn w:val="977"/>
    <w:link w:val="981"/>
    <w:uiPriority w:val="99"/>
    <w:pPr>
      <w:pBdr/>
      <w:spacing/>
      <w:ind/>
    </w:pPr>
  </w:style>
  <w:style w:type="paragraph" w:styleId="983">
    <w:name w:val="Footer"/>
    <w:basedOn w:val="976"/>
    <w:link w:val="98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4" w:customStyle="1">
    <w:name w:val="Нижний колонтитул Знак"/>
    <w:basedOn w:val="977"/>
    <w:link w:val="983"/>
    <w:uiPriority w:val="99"/>
    <w:pPr>
      <w:pBdr/>
      <w:spacing/>
      <w:ind/>
    </w:pPr>
  </w:style>
  <w:style w:type="paragraph" w:styleId="985" w:customStyle="1">
    <w:name w:val="ConsPlusTitle"/>
    <w:uiPriority w:val="99"/>
    <w:pPr>
      <w:pBdr/>
      <w:spacing/>
      <w:ind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986" w:customStyle="1">
    <w:name w:val="ConsPlusCell"/>
    <w:uiPriority w:val="99"/>
    <w:pPr>
      <w:pBdr/>
      <w:spacing/>
      <w:ind/>
    </w:pPr>
    <w:rPr>
      <w:rFonts w:ascii="Arial" w:hAnsi="Arial" w:cs="Arial"/>
      <w:lang w:eastAsia="en-US"/>
    </w:rPr>
  </w:style>
  <w:style w:type="paragraph" w:styleId="987" w:customStyle="1">
    <w:name w:val="ConsPlusNonformat"/>
    <w:uiPriority w:val="99"/>
    <w:pPr>
      <w:pBdr/>
      <w:spacing/>
      <w:ind/>
    </w:pPr>
    <w:rPr>
      <w:rFonts w:ascii="Courier New" w:hAnsi="Courier New" w:cs="Courier New"/>
      <w:lang w:eastAsia="en-US"/>
    </w:rPr>
  </w:style>
  <w:style w:type="paragraph" w:styleId="988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table" w:styleId="989">
    <w:name w:val="Table Grid"/>
    <w:basedOn w:val="97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Balloon Text"/>
    <w:basedOn w:val="976"/>
    <w:link w:val="99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link w:val="99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92">
    <w:name w:val="annotation reference"/>
    <w:basedOn w:val="97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93">
    <w:name w:val="annotation text"/>
    <w:basedOn w:val="976"/>
    <w:link w:val="99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94" w:customStyle="1">
    <w:name w:val="Текст примечания Знак"/>
    <w:basedOn w:val="977"/>
    <w:link w:val="993"/>
    <w:uiPriority w:val="99"/>
    <w:semiHidden/>
    <w:pPr>
      <w:pBdr/>
      <w:spacing/>
      <w:ind/>
    </w:pPr>
    <w:rPr>
      <w:lang w:eastAsia="en-US"/>
    </w:rPr>
  </w:style>
  <w:style w:type="paragraph" w:styleId="995">
    <w:name w:val="annotation subject"/>
    <w:basedOn w:val="993"/>
    <w:next w:val="993"/>
    <w:link w:val="996"/>
    <w:uiPriority w:val="99"/>
    <w:semiHidden/>
    <w:unhideWhenUsed/>
    <w:pPr>
      <w:pBdr/>
      <w:spacing/>
      <w:ind/>
    </w:pPr>
    <w:rPr>
      <w:b/>
      <w:bCs/>
    </w:rPr>
  </w:style>
  <w:style w:type="character" w:styleId="996" w:customStyle="1">
    <w:name w:val="Тема примечания Знак"/>
    <w:basedOn w:val="994"/>
    <w:link w:val="995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C12D-35C0-413A-B02A-3EAF2432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</dc:creator>
  <cp:keywords/>
  <cp:revision>12</cp:revision>
  <dcterms:created xsi:type="dcterms:W3CDTF">2024-08-29T04:42:00Z</dcterms:created>
  <dcterms:modified xsi:type="dcterms:W3CDTF">2025-08-26T07:19:18Z</dcterms:modified>
</cp:coreProperties>
</file>