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right="52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3"/>
        <w:pBdr/>
        <w:spacing/>
        <w:ind w:firstLine="9072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3"/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«__» ____ 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№ 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right="52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right="52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утверждении норматив</w:t>
      </w:r>
      <w:r>
        <w:rPr>
          <w:rFonts w:ascii="Times New Roman" w:hAnsi="Times New Roman"/>
          <w:sz w:val="28"/>
          <w:szCs w:val="28"/>
        </w:rPr>
        <w:t xml:space="preserve">ных</w:t>
      </w:r>
      <w:r>
        <w:rPr>
          <w:rFonts w:ascii="Times New Roman" w:hAnsi="Times New Roman"/>
          <w:sz w:val="28"/>
          <w:szCs w:val="28"/>
        </w:rPr>
        <w:t xml:space="preserve"> затрат </w:t>
      </w:r>
      <w:r>
        <w:rPr>
          <w:rFonts w:ascii="Times New Roman" w:hAnsi="Times New Roman"/>
          <w:sz w:val="28"/>
          <w:szCs w:val="28"/>
        </w:rPr>
        <w:t xml:space="preserve">на предоставление государственной услуги 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организаци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отдыха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детей и молодежи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Республик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Татарстан </w:t>
      </w:r>
      <w:r>
        <w:rPr>
          <w:rFonts w:ascii="Times New Roman" w:hAnsi="Times New Roman"/>
          <w:sz w:val="28"/>
          <w:szCs w:val="28"/>
        </w:rPr>
        <w:t xml:space="preserve">на 2026 год и на плановый период 2027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2028 годов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right="5244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</w:r>
      <w:r>
        <w:rPr>
          <w:rFonts w:ascii="Times New Roman" w:hAnsi="Times New Roman" w:eastAsia="Calibri"/>
          <w:sz w:val="28"/>
          <w:szCs w:val="28"/>
          <w:lang w:eastAsia="ru-RU"/>
        </w:rPr>
      </w:r>
      <w:r>
        <w:rPr>
          <w:rFonts w:ascii="Times New Roman" w:hAnsi="Times New Roman" w:eastAsia="Calibri"/>
          <w:sz w:val="28"/>
          <w:szCs w:val="28"/>
          <w:lang w:eastAsia="ru-RU"/>
        </w:rPr>
      </w:r>
    </w:p>
    <w:p>
      <w:pPr>
        <w:pBdr/>
        <w:spacing/>
        <w:ind w:right="5244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</w:r>
      <w:r>
        <w:rPr>
          <w:rFonts w:ascii="Times New Roman" w:hAnsi="Times New Roman" w:eastAsia="Calibri"/>
          <w:sz w:val="28"/>
          <w:szCs w:val="28"/>
          <w:lang w:eastAsia="ru-RU"/>
        </w:rPr>
      </w:r>
      <w:r>
        <w:rPr>
          <w:rFonts w:ascii="Times New Roman" w:hAnsi="Times New Roman" w:eastAsia="Calibri"/>
          <w:sz w:val="28"/>
          <w:szCs w:val="28"/>
          <w:lang w:eastAsia="ru-RU"/>
        </w:rPr>
      </w:r>
    </w:p>
    <w:p>
      <w:pPr>
        <w:pBdr/>
        <w:spacing/>
        <w:ind w:right="0" w:firstLine="540"/>
        <w:outlineLvl w:val="0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Кабинет Министров Республики Татарстан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ПОСТАНОВЛЯЕТ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Calibri"/>
          <w:sz w:val="28"/>
          <w:szCs w:val="28"/>
          <w:lang w:eastAsia="ru-RU"/>
        </w:rPr>
      </w:r>
      <w:r>
        <w:rPr>
          <w:rFonts w:ascii="Times New Roman" w:hAnsi="Times New Roman" w:eastAsia="Calibri"/>
          <w:sz w:val="28"/>
          <w:szCs w:val="28"/>
          <w:lang w:eastAsia="ru-RU"/>
        </w:rPr>
      </w:r>
    </w:p>
    <w:p>
      <w:pPr>
        <w:pBdr/>
        <w:spacing/>
        <w:ind w:right="0" w:firstLine="540"/>
        <w:outlineLvl w:val="0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</w:r>
      <w:r>
        <w:rPr>
          <w:rFonts w:ascii="Times New Roman" w:hAnsi="Times New Roman" w:eastAsia="Calibri"/>
          <w:sz w:val="28"/>
          <w:szCs w:val="28"/>
          <w:lang w:eastAsia="ru-RU"/>
        </w:rPr>
      </w:r>
      <w:r>
        <w:rPr>
          <w:rFonts w:ascii="Times New Roman" w:hAnsi="Times New Roman" w:eastAsia="Calibri"/>
          <w:sz w:val="28"/>
          <w:szCs w:val="28"/>
          <w:lang w:eastAsia="ru-RU"/>
        </w:rPr>
      </w:r>
    </w:p>
    <w:p>
      <w:pPr>
        <w:pBdr/>
        <w:tabs>
          <w:tab w:val="left" w:leader="none" w:pos="1134"/>
          <w:tab w:val="left" w:leader="none" w:pos="1701"/>
        </w:tabs>
        <w:spacing/>
        <w:ind w:right="0" w:firstLine="709"/>
        <w:outlineLvl w:val="0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1. 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Утвердить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Calibri"/>
          <w:sz w:val="28"/>
          <w:szCs w:val="28"/>
          <w:lang w:eastAsia="ru-RU"/>
        </w:rPr>
      </w:r>
      <w:r>
        <w:rPr>
          <w:rFonts w:ascii="Times New Roman" w:hAnsi="Times New Roman" w:eastAsia="Calibri"/>
          <w:sz w:val="28"/>
          <w:szCs w:val="28"/>
          <w:lang w:eastAsia="ru-RU"/>
        </w:rPr>
      </w:r>
    </w:p>
    <w:p>
      <w:pPr>
        <w:pStyle w:val="976"/>
        <w:pBdr/>
        <w:tabs>
          <w:tab w:val="left" w:leader="none" w:pos="709"/>
          <w:tab w:val="left" w:leader="none" w:pos="851"/>
        </w:tabs>
        <w:spacing/>
        <w:ind w:right="0" w:firstLine="709" w:left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прилагаемые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нормативные затраты </w:t>
      </w:r>
      <w:r>
        <w:rPr>
          <w:rFonts w:ascii="Times New Roman" w:hAnsi="Times New Roman"/>
          <w:sz w:val="28"/>
          <w:szCs w:val="28"/>
        </w:rPr>
        <w:t xml:space="preserve">на предоставление государственной услуги по организации отдыха детей и молодежи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Республик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2026 год и на плановый период 2027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2028 годов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86"/>
        <w:pBdr/>
        <w:spacing w:after="0" w:afterAutospacing="0" w:before="0" w:before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 xml:space="preserve">предоставлени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государственной услуги по </w:t>
      </w:r>
      <w:r>
        <w:rPr>
          <w:sz w:val="28"/>
          <w:szCs w:val="28"/>
        </w:rPr>
        <w:t xml:space="preserve">организации отдыха </w:t>
      </w:r>
      <w:r>
        <w:rPr>
          <w:sz w:val="28"/>
          <w:szCs w:val="28"/>
        </w:rPr>
        <w:t xml:space="preserve">детей </w:t>
      </w:r>
      <w:r>
        <w:rPr>
          <w:sz w:val="28"/>
          <w:szCs w:val="28"/>
        </w:rPr>
        <w:t xml:space="preserve">и молодежи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Республик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Татарстан из числа детей работников муниципальных и государственных организаций, а также коммерческих и некоммерческих организаций (за исключением муниципальных и государственных организаций), находящихся на территории муниципального образования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2026 год и на плановый период 2027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2028 годов </w:t>
      </w:r>
      <w:r>
        <w:rPr>
          <w:sz w:val="28"/>
          <w:szCs w:val="28"/>
        </w:rPr>
        <w:t xml:space="preserve">в размере 51,9 рубл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одного </w:t>
      </w:r>
      <w:r>
        <w:rPr>
          <w:sz w:val="28"/>
          <w:szCs w:val="28"/>
        </w:rPr>
        <w:t xml:space="preserve">получателя услуги в возрасте от 7 до 18 лет</w:t>
      </w:r>
      <w:r>
        <w:rPr>
          <w:sz w:val="28"/>
          <w:szCs w:val="28"/>
        </w:rPr>
        <w:t xml:space="preserve"> включительно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93"/>
        </w:tabs>
        <w:spacing/>
        <w:ind w:right="0"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2. </w:t>
      </w:r>
      <w:r>
        <w:rPr>
          <w:rFonts w:ascii="Times New Roman" w:hAnsi="Times New Roman"/>
          <w:sz w:val="28"/>
          <w:szCs w:val="28"/>
          <w:lang w:eastAsia="ru-RU"/>
        </w:rPr>
        <w:t xml:space="preserve">Признать утратившим</w:t>
      </w:r>
      <w:r>
        <w:rPr>
          <w:rFonts w:ascii="Times New Roman" w:hAnsi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/>
          <w:sz w:val="28"/>
          <w:szCs w:val="28"/>
          <w:lang w:eastAsia="ru-RU"/>
        </w:rPr>
        <w:t xml:space="preserve"> силу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</w:t>
      </w:r>
      <w:r>
        <w:rPr>
          <w:rFonts w:ascii="Times New Roman" w:hAnsi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/>
          <w:sz w:val="28"/>
          <w:szCs w:val="28"/>
          <w:lang w:eastAsia="ru-RU"/>
        </w:rPr>
        <w:t xml:space="preserve"> Кабинета Министров Республики Татарстан: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Bdr/>
        <w:tabs>
          <w:tab w:val="left" w:leader="none" w:pos="993"/>
        </w:tabs>
        <w:spacing/>
        <w:ind w:right="0" w:firstLine="709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от 0</w:t>
      </w:r>
      <w:r>
        <w:rPr>
          <w:rFonts w:ascii="Times New Roman" w:hAnsi="Times New Roman"/>
          <w:sz w:val="28"/>
          <w:szCs w:val="28"/>
          <w:lang w:eastAsia="ru-RU"/>
        </w:rPr>
        <w:t xml:space="preserve">9</w:t>
      </w:r>
      <w:r>
        <w:rPr>
          <w:rFonts w:ascii="Times New Roman" w:hAnsi="Times New Roman"/>
          <w:sz w:val="28"/>
          <w:szCs w:val="28"/>
          <w:lang w:eastAsia="ru-RU"/>
        </w:rPr>
        <w:t xml:space="preserve">.09.202</w:t>
      </w:r>
      <w:r>
        <w:rPr>
          <w:rFonts w:ascii="Times New Roman" w:hAnsi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lang w:eastAsia="ru-RU"/>
        </w:rPr>
        <w:t xml:space="preserve">754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нормативных затрат на предоставление государственной услуги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по организации отдыха детей и молодежи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Республик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Татарстан на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на 2025 год и на плановый период 2026 и 2027 годов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pBdr/>
        <w:tabs>
          <w:tab w:val="left" w:leader="none" w:pos="993"/>
        </w:tabs>
        <w:spacing/>
        <w:ind w:right="0" w:firstLine="709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от 2</w:t>
      </w:r>
      <w:r>
        <w:rPr>
          <w:rFonts w:ascii="Times New Roman" w:hAnsi="Times New Roman"/>
          <w:sz w:val="28"/>
          <w:szCs w:val="28"/>
          <w:lang w:eastAsia="ru-RU"/>
        </w:rPr>
        <w:t xml:space="preserve">9</w:t>
      </w:r>
      <w:r>
        <w:rPr>
          <w:rFonts w:ascii="Times New Roman" w:hAnsi="Times New Roman"/>
          <w:sz w:val="28"/>
          <w:szCs w:val="28"/>
          <w:lang w:eastAsia="ru-RU"/>
        </w:rPr>
        <w:t xml:space="preserve">.04.202</w:t>
      </w:r>
      <w:r>
        <w:rPr>
          <w:rFonts w:ascii="Times New Roman" w:hAnsi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lang w:eastAsia="ru-RU"/>
        </w:rPr>
        <w:t xml:space="preserve">277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/>
          <w:sz w:val="28"/>
          <w:szCs w:val="28"/>
          <w:lang w:eastAsia="ru-RU"/>
        </w:rPr>
        <w:t xml:space="preserve"> внесении изменения в нормативные затраты на предоставление государственной услуги по организации отдыха детей и молодежи в Республике Татарстан на 2025 год и на плановый период 2026 и 2027 годов, утвержденные постановлением Кабинета Министров Республики Т</w:t>
      </w:r>
      <w:r>
        <w:rPr>
          <w:rFonts w:ascii="Times New Roman" w:hAnsi="Times New Roman"/>
          <w:sz w:val="28"/>
          <w:szCs w:val="28"/>
          <w:lang w:eastAsia="ru-RU"/>
        </w:rPr>
        <w:t xml:space="preserve">атарстан от 09.09.2024 № 754 «Об утверждении нормативных затрат на предоставление государственной услуги по организации отдыха детей и молодежи в Республике Татарстан на 2025 год и на плановый период 2026 и 2027 годов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pBdr/>
        <w:tabs>
          <w:tab w:val="left" w:leader="none" w:pos="993"/>
        </w:tabs>
        <w:spacing/>
        <w:ind w:right="0" w:firstLine="709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от 19</w:t>
      </w:r>
      <w:r>
        <w:rPr>
          <w:rFonts w:ascii="Times New Roman" w:hAnsi="Times New Roman"/>
          <w:sz w:val="28"/>
          <w:szCs w:val="28"/>
          <w:lang w:eastAsia="ru-RU"/>
        </w:rPr>
        <w:t xml:space="preserve">.05.202</w:t>
      </w:r>
      <w:r>
        <w:rPr>
          <w:rFonts w:ascii="Times New Roman" w:hAnsi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lang w:eastAsia="ru-RU"/>
        </w:rPr>
        <w:t xml:space="preserve">335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/>
          <w:sz w:val="28"/>
          <w:szCs w:val="28"/>
          <w:lang w:eastAsia="ru-RU"/>
        </w:rPr>
        <w:t xml:space="preserve"> внесении изменения в нормативные затраты на предоставление государственной услуги по организации отдыха детей и молодежи в Республике Татарстан на 2025 год и на плановый период 2026 и 2027 годов, утвержденные постановлением Кабинета Министров Республики Т</w:t>
      </w:r>
      <w:r>
        <w:rPr>
          <w:rFonts w:ascii="Times New Roman" w:hAnsi="Times New Roman"/>
          <w:sz w:val="28"/>
          <w:szCs w:val="28"/>
          <w:lang w:eastAsia="ru-RU"/>
        </w:rPr>
        <w:t xml:space="preserve">атарстан от 09.09.2024 № 754 «Об утверждении нормативных затрат на предоставление государственной услуги по организации отдыха детей и молодежи в Республике Татарстан на 2025 год и на плановый период 2026 и 2027 годо</w:t>
      </w:r>
      <w:r>
        <w:rPr>
          <w:rFonts w:ascii="Times New Roman" w:hAnsi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pBdr/>
        <w:tabs>
          <w:tab w:val="left" w:leader="none" w:pos="993"/>
        </w:tabs>
        <w:spacing/>
        <w:ind w:right="-1"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3. </w:t>
      </w:r>
      <w:r>
        <w:rPr>
          <w:rFonts w:ascii="Times New Roman" w:hAnsi="Times New Roman"/>
          <w:sz w:val="28"/>
          <w:szCs w:val="28"/>
        </w:rPr>
        <w:t xml:space="preserve">Установить, что настоящее постановление вступает в силу с 1 января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Bdr/>
        <w:tabs>
          <w:tab w:val="left" w:leader="none" w:pos="993"/>
        </w:tabs>
        <w:spacing/>
        <w:ind w:right="-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Bdr/>
        <w:tabs>
          <w:tab w:val="left" w:leader="none" w:pos="993"/>
        </w:tabs>
        <w:spacing/>
        <w:ind w:right="-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pStyle w:val="976"/>
        <w:pBdr/>
        <w:spacing/>
        <w:ind w:right="0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6"/>
        <w:pBdr/>
        <w:spacing/>
        <w:ind w:right="0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А.В. Песошин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right="0" w:left="6237"/>
        <w:rPr>
          <w:rFonts w:ascii="Times New Roman" w:hAnsi="Times New Roman" w:eastAsia="Calibri"/>
          <w:sz w:val="28"/>
          <w:szCs w:val="28"/>
          <w:lang w:eastAsia="ru-RU"/>
        </w:rPr>
        <w:sectPr>
          <w:headerReference w:type="default" r:id="rId9"/>
          <w:footerReference w:type="default" r:id="rId10"/>
          <w:footnotePr/>
          <w:endnotePr/>
          <w:type w:val="nextPage"/>
          <w:pgSz w:h="16838" w:orient="portrait" w:w="11906"/>
          <w:pgMar w:top="1134" w:right="566" w:bottom="567" w:left="1134" w:header="708" w:footer="708" w:gutter="0"/>
          <w:cols w:num="1" w:sep="0" w:space="708" w:equalWidth="1"/>
          <w:titlePg/>
        </w:sectPr>
      </w:pPr>
      <w:r>
        <w:rPr>
          <w:rFonts w:ascii="Times New Roman" w:hAnsi="Times New Roman" w:eastAsia="Calibri"/>
          <w:sz w:val="28"/>
          <w:szCs w:val="28"/>
          <w:lang w:eastAsia="ru-RU"/>
        </w:rPr>
      </w:r>
      <w:r>
        <w:rPr>
          <w:rFonts w:ascii="Times New Roman" w:hAnsi="Times New Roman" w:eastAsia="Calibri"/>
          <w:sz w:val="28"/>
          <w:szCs w:val="28"/>
          <w:lang w:eastAsia="ru-RU"/>
        </w:rPr>
      </w:r>
      <w:r>
        <w:rPr>
          <w:rFonts w:ascii="Times New Roman" w:hAnsi="Times New Roman" w:eastAsia="Calibri"/>
          <w:sz w:val="28"/>
          <w:szCs w:val="28"/>
          <w:lang w:eastAsia="ru-RU"/>
        </w:rPr>
      </w:r>
    </w:p>
    <w:p>
      <w:pPr>
        <w:pBdr/>
        <w:spacing/>
        <w:ind w:right="0" w:left="11624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Утверждены</w:t>
      </w:r>
      <w:r>
        <w:rPr>
          <w:rFonts w:ascii="Times New Roman" w:hAnsi="Times New Roman" w:eastAsia="Calibri"/>
          <w:sz w:val="28"/>
          <w:szCs w:val="28"/>
          <w:lang w:eastAsia="ru-RU"/>
        </w:rPr>
      </w:r>
      <w:r>
        <w:rPr>
          <w:rFonts w:ascii="Times New Roman" w:hAnsi="Times New Roman" w:eastAsia="Calibri"/>
          <w:sz w:val="28"/>
          <w:szCs w:val="28"/>
          <w:lang w:eastAsia="ru-RU"/>
        </w:rPr>
      </w:r>
    </w:p>
    <w:p>
      <w:pPr>
        <w:pBdr/>
        <w:spacing/>
        <w:ind w:right="0" w:left="11624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постановлени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ем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ru-RU"/>
        </w:rPr>
      </w:r>
      <w:r>
        <w:rPr>
          <w:rFonts w:ascii="Times New Roman" w:hAnsi="Times New Roman" w:eastAsia="Calibri"/>
          <w:sz w:val="28"/>
          <w:szCs w:val="28"/>
          <w:lang w:eastAsia="ru-RU"/>
        </w:rPr>
      </w:r>
    </w:p>
    <w:p>
      <w:pPr>
        <w:pBdr/>
        <w:spacing/>
        <w:ind w:right="0" w:left="11624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Кабинета Министров </w:t>
      </w:r>
      <w:r>
        <w:rPr>
          <w:rFonts w:ascii="Times New Roman" w:hAnsi="Times New Roman" w:eastAsia="Calibri"/>
          <w:sz w:val="28"/>
          <w:szCs w:val="28"/>
          <w:lang w:eastAsia="ru-RU"/>
        </w:rPr>
      </w:r>
      <w:r>
        <w:rPr>
          <w:rFonts w:ascii="Times New Roman" w:hAnsi="Times New Roman" w:eastAsia="Calibri"/>
          <w:sz w:val="28"/>
          <w:szCs w:val="28"/>
          <w:lang w:eastAsia="ru-RU"/>
        </w:rPr>
      </w:r>
    </w:p>
    <w:p>
      <w:pPr>
        <w:pBdr/>
        <w:spacing/>
        <w:ind w:right="0" w:left="11624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Республики Татарстан </w:t>
      </w:r>
      <w:r>
        <w:rPr>
          <w:rFonts w:ascii="Times New Roman" w:hAnsi="Times New Roman" w:eastAsia="Calibri"/>
          <w:sz w:val="28"/>
          <w:szCs w:val="28"/>
          <w:lang w:eastAsia="ru-RU"/>
        </w:rPr>
      </w:r>
      <w:r>
        <w:rPr>
          <w:rFonts w:ascii="Times New Roman" w:hAnsi="Times New Roman" w:eastAsia="Calibri"/>
          <w:sz w:val="28"/>
          <w:szCs w:val="28"/>
          <w:lang w:eastAsia="ru-RU"/>
        </w:rPr>
      </w:r>
    </w:p>
    <w:p>
      <w:pPr>
        <w:pStyle w:val="976"/>
        <w:pBdr/>
        <w:spacing/>
        <w:ind w:right="-1" w:left="116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__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  <w:t xml:space="preserve">____ 20</w:t>
      </w:r>
      <w:r>
        <w:rPr>
          <w:rFonts w:ascii="Times New Roman" w:hAnsi="Times New Roman"/>
          <w:sz w:val="28"/>
          <w:szCs w:val="28"/>
        </w:rPr>
        <w:t xml:space="preserve">25</w:t>
      </w:r>
      <w:r>
        <w:rPr>
          <w:rFonts w:ascii="Times New Roman" w:hAnsi="Times New Roman"/>
          <w:sz w:val="28"/>
          <w:szCs w:val="28"/>
        </w:rPr>
        <w:t xml:space="preserve"> № __</w:t>
      </w:r>
      <w:r>
        <w:rPr>
          <w:rFonts w:ascii="Times New Roman" w:hAnsi="Times New Roman"/>
          <w:sz w:val="28"/>
          <w:szCs w:val="28"/>
        </w:rPr>
        <w:t xml:space="preserve">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6"/>
        <w:pBdr/>
        <w:spacing/>
        <w:ind w:right="-1" w:left="116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7"/>
        <w:pBdr/>
        <w:spacing/>
        <w:ind/>
        <w:jc w:val="center"/>
        <w:rPr>
          <w:b w:val="0"/>
        </w:rPr>
      </w:pPr>
      <w:r>
        <w:rPr>
          <w:b w:val="0"/>
        </w:rPr>
        <w:t xml:space="preserve">Нормативные затраты </w:t>
      </w:r>
      <w:r>
        <w:rPr>
          <w:b w:val="0"/>
        </w:rPr>
      </w:r>
      <w:r>
        <w:rPr>
          <w:b w:val="0"/>
        </w:rPr>
      </w:r>
    </w:p>
    <w:p>
      <w:pPr>
        <w:pStyle w:val="977"/>
        <w:pBdr/>
        <w:spacing/>
        <w:ind/>
        <w:jc w:val="center"/>
        <w:rPr>
          <w:b w:val="0"/>
        </w:rPr>
      </w:pPr>
      <w:r>
        <w:rPr>
          <w:b w:val="0"/>
        </w:rPr>
        <w:t xml:space="preserve">на предоставление государственной услуги по организации отдыха детей и молодежи </w:t>
      </w:r>
      <w:r>
        <w:rPr>
          <w:b w:val="0"/>
        </w:rPr>
        <w:t xml:space="preserve">в </w:t>
      </w:r>
      <w:r>
        <w:rPr>
          <w:b w:val="0"/>
        </w:rPr>
        <w:t xml:space="preserve">Республик</w:t>
      </w:r>
      <w:r>
        <w:rPr>
          <w:b w:val="0"/>
        </w:rPr>
        <w:t xml:space="preserve">е</w:t>
      </w:r>
      <w:r>
        <w:rPr>
          <w:b w:val="0"/>
        </w:rPr>
        <w:t xml:space="preserve"> Татарстан</w:t>
      </w:r>
      <w:r>
        <w:rPr>
          <w:b w:val="0"/>
        </w:rPr>
        <w:t xml:space="preserve"> </w:t>
      </w:r>
      <w:r>
        <w:rPr>
          <w:b w:val="0"/>
        </w:rPr>
      </w:r>
      <w:r>
        <w:rPr>
          <w:b w:val="0"/>
        </w:rPr>
      </w:r>
    </w:p>
    <w:p>
      <w:pPr>
        <w:pStyle w:val="977"/>
        <w:pBdr/>
        <w:spacing/>
        <w:ind/>
        <w:jc w:val="center"/>
        <w:rPr>
          <w:b w:val="0"/>
        </w:rPr>
      </w:pPr>
      <w:r>
        <w:rPr>
          <w:b w:val="0"/>
        </w:rPr>
        <w:t xml:space="preserve">на 2026 год и на плановый период 2027</w:t>
      </w:r>
      <w:r>
        <w:rPr>
          <w:b w:val="0"/>
        </w:rPr>
        <w:t xml:space="preserve"> и </w:t>
      </w:r>
      <w:r>
        <w:rPr>
          <w:b w:val="0"/>
        </w:rPr>
        <w:t xml:space="preserve">2028 годов</w:t>
      </w:r>
      <w:r>
        <w:rPr>
          <w:b w:val="0"/>
        </w:rPr>
      </w:r>
      <w:r>
        <w:rPr>
          <w:b w:val="0"/>
        </w:rPr>
      </w:r>
    </w:p>
    <w:p>
      <w:pPr>
        <w:pStyle w:val="977"/>
        <w:pBdr/>
        <w:spacing/>
        <w:ind/>
        <w:jc w:val="center"/>
        <w:rPr/>
      </w:pPr>
      <w:r/>
      <w:r/>
    </w:p>
    <w:tbl>
      <w:tblPr>
        <w:tblInd w:w="-5" w:type="dxa"/>
        <w:tblW w:w="14115" w:type="dxa"/>
        <w:tblBorders/>
        <w:tblLook w:val="04A0" w:firstRow="1" w:lastRow="0" w:firstColumn="1" w:lastColumn="0" w:noHBand="0" w:noVBand="1"/>
      </w:tblPr>
      <w:tblGrid>
        <w:gridCol w:w="2350"/>
        <w:gridCol w:w="5387"/>
        <w:gridCol w:w="2409"/>
        <w:gridCol w:w="2127"/>
        <w:gridCol w:w="1842"/>
      </w:tblGrid>
      <w:tr>
        <w:trPr>
          <w:trHeight w:val="20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737" w:type="dxa"/>
            <w:vMerge w:val="restart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государственной услуги, форм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</w:t>
            </w:r>
            <w:bookmarkStart w:id="0" w:name="_GoBack"/>
            <w:r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организации отдыха детей и молодежи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78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Нормативные затраты в день на 1 койко-место,      рублей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37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350" w:type="dxa"/>
            <w:vMerge w:val="restart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отдыха детей и молодежи в Республике Татарстан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textDirection w:val="lrTb"/>
            <w:noWrap/>
          </w:tcPr>
          <w:p>
            <w:pPr>
              <w:pBdr/>
              <w:spacing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Смена в загородном лагере отдыха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460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93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544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43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350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textDirection w:val="lrTb"/>
            <w:noWrap/>
          </w:tcPr>
          <w:p>
            <w:pPr>
              <w:pBdr/>
              <w:spacing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Профильная смена и смена различной тематической направленности в загородном лагере отдыха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388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460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44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47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74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350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textDirection w:val="lrTb"/>
            <w:noWrap/>
          </w:tcPr>
          <w:p>
            <w:pPr>
              <w:pBdr/>
              <w:spacing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Смена в лагере палаточного типа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933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46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066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80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29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350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textDirection w:val="lrTb"/>
            <w:noWrap/>
          </w:tcPr>
          <w:p>
            <w:pPr>
              <w:pBdr/>
              <w:spacing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Смена в лагере, организованном образовательными организациями с дневным пребыванием,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смена в лагере труда и отдыха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92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305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47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350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textDirection w:val="lrTb"/>
            <w:noWrap/>
          </w:tcPr>
          <w:p>
            <w:pPr>
              <w:pBdr/>
              <w:spacing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Физкультурно-оздоровительные мероприятия для студентов образовательных организаций высшего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65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75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93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86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9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350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textDirection w:val="lrTb"/>
            <w:noWrap/>
          </w:tcPr>
          <w:p>
            <w:pPr>
              <w:pBdr/>
              <w:spacing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Смена в санаторно-курортных организациях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849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921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47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008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9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50" w:type="dxa"/>
            <w:vMerge w:val="continue"/>
            <w:textDirection w:val="lrTb"/>
            <w:noWrap w:val="false"/>
          </w:tcPr>
          <w:p>
            <w:pPr>
              <w:pBdr/>
              <w:spacing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textDirection w:val="lrTb"/>
            <w:noWrap/>
          </w:tcPr>
          <w:p>
            <w:pPr>
              <w:pBdr/>
              <w:spacing/>
              <w:ind w:righ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Профильная смена и смена различной тематической направленности в загородном лагере отдыха на Черноморском побережье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277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27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440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pBdr/>
              <w:spacing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637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widowControl w:val="false"/>
        <w:pBdr/>
        <w:spacing w:line="360" w:lineRule="auto"/>
        <w:ind w:right="0"/>
        <w:rPr/>
      </w:pPr>
      <w:r/>
      <w:r/>
    </w:p>
    <w:p>
      <w:pPr>
        <w:widowControl w:val="false"/>
        <w:pBdr/>
        <w:spacing w:line="360" w:lineRule="auto"/>
        <w:ind w:right="0"/>
        <w:jc w:val="center"/>
        <w:rPr/>
        <w:sectPr>
          <w:footnotePr/>
          <w:endnotePr/>
          <w:type w:val="nextPage"/>
          <w:pgSz w:h="11906" w:orient="landscape" w:w="16838"/>
          <w:pgMar w:top="851" w:right="1134" w:bottom="566" w:left="567" w:header="708" w:footer="708" w:gutter="0"/>
          <w:cols w:num="1" w:sep="0" w:space="708" w:equalWidth="1"/>
          <w:titlePg/>
        </w:sectPr>
      </w:pPr>
      <w:r/>
      <w:r/>
    </w:p>
    <w:p>
      <w:pPr>
        <w:pStyle w:val="976"/>
        <w:widowControl w:val="false"/>
        <w:pBdr/>
        <w:spacing/>
        <w:ind w:right="0" w:firstLine="851"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6"/>
        <w:widowControl w:val="false"/>
        <w:pBdr/>
        <w:spacing/>
        <w:ind w:right="0"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6"/>
        <w:widowControl w:val="false"/>
        <w:pBdr/>
        <w:spacing/>
        <w:ind w:right="0" w:firstLine="851"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Об утверждении нормативных затрат на предоставление государственной услуги по организации отдыха детей и молодежи в Республике Татарстан на 2026 год и на плановый период 2027</w:t>
      </w:r>
      <w:r>
        <w:rPr>
          <w:rFonts w:ascii="Times New Roman" w:hAnsi="Times New Roman"/>
          <w:b/>
          <w:sz w:val="28"/>
          <w:szCs w:val="28"/>
        </w:rPr>
        <w:t xml:space="preserve"> и </w:t>
      </w:r>
      <w:r>
        <w:rPr>
          <w:rFonts w:ascii="Times New Roman" w:hAnsi="Times New Roman"/>
          <w:b/>
          <w:sz w:val="28"/>
          <w:szCs w:val="28"/>
        </w:rPr>
        <w:t xml:space="preserve">2028 годов</w:t>
      </w:r>
      <w:r>
        <w:rPr>
          <w:rFonts w:ascii="Times New Roman" w:hAnsi="Times New Roman"/>
          <w:b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6"/>
        <w:widowControl w:val="false"/>
        <w:pBdr/>
        <w:spacing/>
        <w:ind w:right="0" w:firstLine="851"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76"/>
        <w:widowControl w:val="false"/>
        <w:pBdr/>
        <w:spacing/>
        <w:ind w:right="0" w:firstLine="567" w:left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Об утверждении нормативных затрат на предоставление государственной услуги по организации отдыха детей и молодежи в Республике Татарстан на 2026 год и на плановый период 2027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2028 годов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разработан в рамках реализации Плана работы Кабинета Министров Республики Татарстан на 2025 год, утвержденного распоряжением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2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.12.202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2996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-р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976"/>
        <w:widowControl w:val="false"/>
        <w:pBdr/>
        <w:spacing/>
        <w:ind w:right="0" w:firstLine="567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Настоящим</w:t>
      </w:r>
      <w:r>
        <w:rPr>
          <w:rFonts w:ascii="Times New Roman" w:hAnsi="Times New Roman"/>
          <w:sz w:val="28"/>
          <w:szCs w:val="28"/>
        </w:rPr>
        <w:t xml:space="preserve"> проектом постановления Кабинета Министров Республики Татарстан утверждаются: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6"/>
        <w:widowControl w:val="false"/>
        <w:pBdr/>
        <w:spacing/>
        <w:ind w:right="0" w:firstLine="567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затраты на предоставление государственной услуги по организации отдыха детей и молодежи в Республике Татарстан</w:t>
      </w:r>
      <w:r>
        <w:t xml:space="preserve">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на 2026 год и на плановый период 2027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2028 годов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6"/>
        <w:widowControl w:val="false"/>
        <w:pBdr/>
        <w:spacing/>
        <w:ind w:right="0" w:firstLine="567"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нормативные затраты на обеспечение предоставления государственной услуги по организации отдыха детей и молодежи в Ре</w:t>
      </w:r>
      <w:r>
        <w:rPr>
          <w:rFonts w:ascii="Times New Roman" w:hAnsi="Times New Roman"/>
          <w:sz w:val="28"/>
          <w:szCs w:val="28"/>
        </w:rPr>
        <w:t xml:space="preserve">спублике Татарстан из числа детей работников муниципальных и государственных организаций, а также коммерческих и некоммерческих организаций (за исключением муниципальных и государственных организаций), находящихся на территории муниципального образования,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на 2026 год и на плановый период 2027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2028 годов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76"/>
        <w:widowControl w:val="false"/>
        <w:pBdr/>
        <w:spacing/>
        <w:ind w:right="0" w:firstLine="567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Нормативные затраты</w:t>
      </w:r>
      <w:r>
        <w:rPr>
          <w:rFonts w:ascii="Times New Roman" w:hAnsi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на предоставление государственной услуги по организации отдыха детей и молодежи в Республике Татарстан на 2026 год и на плановый период 2027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2028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сформированы с применением индексов-дефляторов для формирования расходов бюджета </w:t>
      </w:r>
      <w:r>
        <w:rPr>
          <w:rFonts w:ascii="Times New Roman" w:hAnsi="Times New Roman"/>
          <w:sz w:val="28"/>
          <w:szCs w:val="28"/>
          <w:highlight w:val="none"/>
        </w:rPr>
        <w:t xml:space="preserve">(медикаменты, продукты питания– на 4,0 процента с января 2026-2028 годов, коммунальные расходы – на 10,2 процентов с июля 2026 года, </w:t>
      </w:r>
      <w:r>
        <w:rPr>
          <w:rFonts w:ascii="Times New Roman" w:hAnsi="Times New Roman"/>
          <w:sz w:val="28"/>
          <w:szCs w:val="28"/>
          <w:highlight w:val="none"/>
        </w:rPr>
        <w:t xml:space="preserve">на 7,7 процентов с июля 2027 года</w:t>
      </w:r>
      <w:r>
        <w:rPr>
          <w:rFonts w:ascii="Times New Roman" w:hAnsi="Times New Roman"/>
          <w:sz w:val="28"/>
          <w:szCs w:val="28"/>
          <w:highlight w:val="none"/>
        </w:rPr>
        <w:t xml:space="preserve">, на 5,6 процентов с июля 2028 года</w:t>
      </w:r>
      <w:r>
        <w:rPr>
          <w:rFonts w:ascii="Times New Roman" w:hAnsi="Times New Roman"/>
          <w:sz w:val="28"/>
          <w:szCs w:val="28"/>
          <w:highlight w:val="none"/>
        </w:rPr>
        <w:t xml:space="preserve">, мягкий инвентарь и прочие расходы – на уровне 2025 года, фонд оплаты труда с учетом повышения минимального размера оплаты труд</w:t>
      </w:r>
      <w:r>
        <w:rPr>
          <w:rFonts w:ascii="Times New Roman" w:hAnsi="Times New Roman"/>
          <w:sz w:val="28"/>
          <w:szCs w:val="28"/>
          <w:highlight w:val="none"/>
        </w:rPr>
        <w:t xml:space="preserve">а).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6"/>
        <w:widowControl w:val="false"/>
        <w:pBdr/>
        <w:spacing/>
        <w:ind w:right="0" w:firstLine="567" w:left="0"/>
        <w:rPr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Средства на указанные цели предусмотрены в бюджете Республики Татарстан в полном объеме.</w:t>
      </w:r>
      <w:r>
        <w:rPr>
          <w:highlight w:val="none"/>
        </w:rPr>
      </w:r>
      <w:r>
        <w:rPr>
          <w:highlight w:val="none"/>
        </w:rPr>
      </w:r>
    </w:p>
    <w:p>
      <w:pPr>
        <w:pStyle w:val="976"/>
        <w:widowControl w:val="false"/>
        <w:pBdr/>
        <w:spacing/>
        <w:ind w:right="0" w:firstLine="567" w:left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976"/>
        <w:widowControl w:val="false"/>
        <w:pBdr/>
        <w:spacing/>
        <w:ind w:right="0" w:firstLine="567" w:left="0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widowControl w:val="false"/>
        <w:pBdr/>
        <w:spacing/>
        <w:ind w:right="0"/>
        <w:jc w:val="center"/>
        <w:rPr/>
      </w:pPr>
      <w:r/>
      <w:r/>
    </w:p>
    <w:sectPr>
      <w:footnotePr/>
      <w:endnotePr/>
      <w:type w:val="nextPage"/>
      <w:pgSz w:h="16838" w:orient="portrait" w:w="11906"/>
      <w:pgMar w:top="1134" w:right="850" w:bottom="567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65018507"/>
      <w:docPartObj>
        <w:docPartGallery w:val="Page Numbers (Bottom of Page)"/>
        <w:docPartUnique w:val="true"/>
      </w:docPartObj>
      <w:rPr/>
    </w:sdtPr>
    <w:sdtContent>
      <w:p>
        <w:pPr>
          <w:pStyle w:val="980"/>
          <w:pBdr/>
          <w:spacing/>
          <w:ind/>
          <w:jc w:val="center"/>
          <w:rPr/>
        </w:pPr>
        <w:r/>
        <w:r/>
      </w:p>
      <w:p>
        <w:pPr>
          <w:pStyle w:val="980"/>
          <w:pBdr/>
          <w:spacing/>
          <w:ind/>
          <w:jc w:val="center"/>
          <w:rPr/>
        </w:pPr>
        <w:r/>
        <w:r/>
      </w:p>
    </w:sdtContent>
  </w:sdt>
  <w:p>
    <w:pPr>
      <w:pStyle w:val="9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10769509"/>
      <w:docPartObj>
        <w:docPartGallery w:val="Page Numbers (Top of Page)"/>
        <w:docPartUnique w:val="true"/>
      </w:docPartObj>
      <w:rPr/>
    </w:sdtPr>
    <w:sdtContent>
      <w:p>
        <w:pPr>
          <w:pStyle w:val="978"/>
          <w:pBdr/>
          <w:spacing/>
          <w:ind w:right="-1"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97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395"/>
      </w:pPr>
      <w:rPr>
        <w:rFonts w:hint="default" w:cs="Times New Roman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0104"/>
      </w:pPr>
      <w:rPr>
        <w:rFonts w:hint="default" w:cs="Times New Roman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453"/>
      </w:pPr>
      <w:rPr>
        <w:rFonts w:hint="default" w:cs="Times New Roman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1162"/>
      </w:pPr>
      <w:rPr>
        <w:rFonts w:hint="default" w:cs="Times New Roman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1511"/>
      </w:pPr>
      <w:rPr>
        <w:rFonts w:hint="default" w:cs="Times New Roman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12220"/>
      </w:pPr>
      <w:rPr>
        <w:rFonts w:hint="default" w:cs="Times New Roman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12929"/>
      </w:pPr>
      <w:rPr>
        <w:rFonts w:hint="default" w:cs="Times New Roman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13278"/>
      </w:pPr>
      <w:rPr>
        <w:rFonts w:hint="default" w:cs="Times New Roman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13987"/>
      </w:pPr>
      <w:rPr>
        <w:rFonts w:hint="default"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 w:cs="Times New Roman"/>
      </w:rPr>
      <w:start w:val="5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29"/>
      </w:pPr>
      <w:rPr>
        <w:rFonts w:hint="default"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07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985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054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763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832"/>
      </w:pPr>
      <w:rPr>
        <w:rFonts w:hint="default" w:cs="Times New Roman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 w:cs="Times New Roman"/>
      </w:rPr>
      <w:start w:val="5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29"/>
      </w:pPr>
      <w:rPr>
        <w:rFonts w:hint="default" w:cs="Times New Roman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07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985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054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763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832"/>
      </w:pPr>
      <w:rPr>
        <w:rFonts w:hint="default" w:cs="Times New Roman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>
        <w:rFonts w:cs="Times New Roman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>
        <w:rFonts w:cs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2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3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4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5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6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7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8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 w:cs="Times New Roman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720"/>
      </w:pPr>
      <w:rPr>
        <w:rFonts w:hint="default" w:cs="Times New Roman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260"/>
      </w:pPr>
      <w:rPr>
        <w:rFonts w:hint="default" w:cs="Times New Roman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620"/>
      </w:pPr>
      <w:rPr>
        <w:rFonts w:hint="default" w:cs="Times New Roman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620"/>
      </w:pPr>
      <w:rPr>
        <w:rFonts w:hint="default" w:cs="Times New Roman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1980"/>
      </w:pPr>
      <w:rPr>
        <w:rFonts w:hint="default" w:cs="Times New Roman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340"/>
      </w:pPr>
      <w:rPr>
        <w:rFonts w:hint="default" w:cs="Times New Roman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340"/>
      </w:pPr>
      <w:rPr>
        <w:rFonts w:hint="default" w:cs="Times New Roman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700"/>
      </w:pPr>
      <w:rPr>
        <w:rFonts w:hint="default" w:cs="Times New Roman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 w:cs="Times New Roman"/>
      </w:rPr>
      <w:start w:val="6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29"/>
      </w:pPr>
      <w:rPr>
        <w:rFonts w:hint="default" w:cs="Times New Roman"/>
      </w:rPr>
      <w:start w:val="3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 w:cs="Times New Roman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07"/>
      </w:pPr>
      <w:rPr>
        <w:rFonts w:hint="default" w:cs="Times New Roman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 w:cs="Times New Roman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985"/>
      </w:pPr>
      <w:rPr>
        <w:rFonts w:hint="default" w:cs="Times New Roman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054"/>
      </w:pPr>
      <w:rPr>
        <w:rFonts w:hint="default" w:cs="Times New Roman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763"/>
      </w:pPr>
      <w:rPr>
        <w:rFonts w:hint="default" w:cs="Times New Roman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832"/>
      </w:pPr>
      <w:rPr>
        <w:rFonts w:hint="default" w:cs="Times New Roman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upperRoman"/>
      <w:pPr>
        <w:pBdr/>
        <w:spacing/>
        <w:ind w:hanging="720" w:left="126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>
        <w:rFonts w:cs="Times New Roman"/>
      </w:rPr>
      <w:start w:val="1"/>
      <w:suff w:val="tab"/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1"/>
  </w:num>
  <w:num w:numId="5">
    <w:abstractNumId w:val="2"/>
  </w:num>
  <w:num w:numId="6">
    <w:abstractNumId w:val="15"/>
  </w:num>
  <w:num w:numId="7">
    <w:abstractNumId w:val="0"/>
  </w:num>
  <w:num w:numId="8">
    <w:abstractNumId w:val="7"/>
  </w:num>
  <w:num w:numId="9">
    <w:abstractNumId w:val="5"/>
  </w:num>
  <w:num w:numId="10">
    <w:abstractNumId w:val="13"/>
  </w:num>
  <w:num w:numId="11">
    <w:abstractNumId w:val="4"/>
  </w:num>
  <w:num w:numId="12">
    <w:abstractNumId w:val="11"/>
  </w:num>
  <w:num w:numId="13">
    <w:abstractNumId w:val="3"/>
  </w:num>
  <w:num w:numId="14">
    <w:abstractNumId w:val="6"/>
  </w:num>
  <w:num w:numId="15">
    <w:abstractNumId w:val="8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83">
    <w:name w:val="Table Grid Light"/>
    <w:basedOn w:val="9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1"/>
    <w:basedOn w:val="9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2"/>
    <w:basedOn w:val="96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Plain Table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Plain Table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Plain Table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1 Light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1 Light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1 Light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1 Light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1 Light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2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2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2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2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2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3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3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3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3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3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4 - Accent 1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4 - Accent 2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4 - Accent 3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4 - Accent 4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4 - Accent 5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 - Accent 6"/>
    <w:basedOn w:val="9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5 Dark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5 Dark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5 Dark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5 Dark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6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6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6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6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6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7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7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7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7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7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1 Light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1 Light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1 Light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1 Light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2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2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2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2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3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3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3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3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3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4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4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4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4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4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5 Dark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5 Dark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5 Dark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5 Dark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5 Dark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6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6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6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6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7 Colorful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7 Colorful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7 Colorful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7 Colorful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7 Colorful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ned - Accent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ned - Accent 1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ned - Accent 2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ned - Accent 3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ned - Accent 4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ned - Accent 5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ned - Accent 6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&amp; Lined - Accent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&amp; Lined - Accent 1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&amp; Lined - Accent 2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&amp; Lined - Accent 3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&amp; Lined - Accent 4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&amp; Lined - Accent 5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Bordered &amp; Lined - Accent 6"/>
    <w:basedOn w:val="9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Bordered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- Accent 1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- Accent 2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- Accent 3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- Accent 4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- Accent 5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- Accent 6"/>
    <w:basedOn w:val="9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8">
    <w:name w:val="Heading 1"/>
    <w:basedOn w:val="965"/>
    <w:next w:val="965"/>
    <w:link w:val="91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9">
    <w:name w:val="Heading 2"/>
    <w:basedOn w:val="965"/>
    <w:next w:val="965"/>
    <w:link w:val="91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10">
    <w:name w:val="Heading 3"/>
    <w:basedOn w:val="965"/>
    <w:next w:val="965"/>
    <w:link w:val="91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11">
    <w:name w:val="Heading 4"/>
    <w:basedOn w:val="965"/>
    <w:next w:val="965"/>
    <w:link w:val="92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12">
    <w:name w:val="Heading 5"/>
    <w:basedOn w:val="965"/>
    <w:next w:val="965"/>
    <w:link w:val="92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13">
    <w:name w:val="Heading 6"/>
    <w:basedOn w:val="965"/>
    <w:next w:val="965"/>
    <w:link w:val="92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14">
    <w:name w:val="Heading 7"/>
    <w:basedOn w:val="965"/>
    <w:next w:val="965"/>
    <w:link w:val="92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15">
    <w:name w:val="Heading 8"/>
    <w:basedOn w:val="965"/>
    <w:next w:val="965"/>
    <w:link w:val="92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16">
    <w:name w:val="Heading 9"/>
    <w:basedOn w:val="965"/>
    <w:next w:val="965"/>
    <w:link w:val="92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17">
    <w:name w:val="Heading 1 Char"/>
    <w:basedOn w:val="966"/>
    <w:link w:val="9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18">
    <w:name w:val="Heading 2 Char"/>
    <w:basedOn w:val="966"/>
    <w:link w:val="9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9">
    <w:name w:val="Heading 3 Char"/>
    <w:basedOn w:val="966"/>
    <w:link w:val="9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0">
    <w:name w:val="Heading 4 Char"/>
    <w:basedOn w:val="966"/>
    <w:link w:val="91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1">
    <w:name w:val="Heading 5 Char"/>
    <w:basedOn w:val="966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2">
    <w:name w:val="Heading 6 Char"/>
    <w:basedOn w:val="966"/>
    <w:link w:val="91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3">
    <w:name w:val="Heading 7 Char"/>
    <w:basedOn w:val="966"/>
    <w:link w:val="91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24">
    <w:name w:val="Heading 8 Char"/>
    <w:basedOn w:val="966"/>
    <w:link w:val="91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25">
    <w:name w:val="Heading 9 Char"/>
    <w:basedOn w:val="966"/>
    <w:link w:val="91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26">
    <w:name w:val="Title"/>
    <w:basedOn w:val="965"/>
    <w:next w:val="965"/>
    <w:link w:val="92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27">
    <w:name w:val="Title Char"/>
    <w:basedOn w:val="966"/>
    <w:link w:val="92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28">
    <w:name w:val="Subtitle"/>
    <w:basedOn w:val="965"/>
    <w:next w:val="965"/>
    <w:link w:val="92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9">
    <w:name w:val="Subtitle Char"/>
    <w:basedOn w:val="966"/>
    <w:link w:val="92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30">
    <w:name w:val="Quote"/>
    <w:basedOn w:val="965"/>
    <w:next w:val="965"/>
    <w:link w:val="93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1">
    <w:name w:val="Quote Char"/>
    <w:basedOn w:val="966"/>
    <w:link w:val="93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32">
    <w:name w:val="Intense Emphasis"/>
    <w:basedOn w:val="96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3">
    <w:name w:val="Intense Quote"/>
    <w:basedOn w:val="965"/>
    <w:next w:val="965"/>
    <w:link w:val="93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4">
    <w:name w:val="Intense Quote Char"/>
    <w:basedOn w:val="966"/>
    <w:link w:val="93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5">
    <w:name w:val="Intense Reference"/>
    <w:basedOn w:val="96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6">
    <w:name w:val="No Spacing"/>
    <w:basedOn w:val="965"/>
    <w:uiPriority w:val="1"/>
    <w:qFormat/>
    <w:pPr>
      <w:pBdr/>
      <w:spacing w:after="0" w:line="240" w:lineRule="auto"/>
      <w:ind/>
    </w:pPr>
  </w:style>
  <w:style w:type="character" w:styleId="937">
    <w:name w:val="Subtle Emphasis"/>
    <w:basedOn w:val="9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8">
    <w:name w:val="Emphasis"/>
    <w:basedOn w:val="966"/>
    <w:uiPriority w:val="20"/>
    <w:qFormat/>
    <w:pPr>
      <w:pBdr/>
      <w:spacing/>
      <w:ind/>
    </w:pPr>
    <w:rPr>
      <w:i/>
      <w:iCs/>
    </w:rPr>
  </w:style>
  <w:style w:type="character" w:styleId="939">
    <w:name w:val="Strong"/>
    <w:basedOn w:val="966"/>
    <w:uiPriority w:val="22"/>
    <w:qFormat/>
    <w:pPr>
      <w:pBdr/>
      <w:spacing/>
      <w:ind/>
    </w:pPr>
    <w:rPr>
      <w:b/>
      <w:bCs/>
    </w:rPr>
  </w:style>
  <w:style w:type="character" w:styleId="940">
    <w:name w:val="Subtle Reference"/>
    <w:basedOn w:val="9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1">
    <w:name w:val="Book Title"/>
    <w:basedOn w:val="9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2">
    <w:name w:val="Header Char"/>
    <w:basedOn w:val="966"/>
    <w:link w:val="978"/>
    <w:uiPriority w:val="99"/>
    <w:pPr>
      <w:pBdr/>
      <w:spacing/>
      <w:ind/>
    </w:pPr>
  </w:style>
  <w:style w:type="character" w:styleId="943">
    <w:name w:val="Footer Char"/>
    <w:basedOn w:val="966"/>
    <w:link w:val="980"/>
    <w:uiPriority w:val="99"/>
    <w:pPr>
      <w:pBdr/>
      <w:spacing/>
      <w:ind/>
    </w:pPr>
  </w:style>
  <w:style w:type="paragraph" w:styleId="944">
    <w:name w:val="Caption"/>
    <w:basedOn w:val="965"/>
    <w:next w:val="9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5">
    <w:name w:val="footnote text"/>
    <w:basedOn w:val="965"/>
    <w:link w:val="94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6">
    <w:name w:val="Footnote Text Char"/>
    <w:basedOn w:val="966"/>
    <w:link w:val="945"/>
    <w:uiPriority w:val="99"/>
    <w:semiHidden/>
    <w:pPr>
      <w:pBdr/>
      <w:spacing/>
      <w:ind/>
    </w:pPr>
    <w:rPr>
      <w:sz w:val="20"/>
      <w:szCs w:val="20"/>
    </w:rPr>
  </w:style>
  <w:style w:type="character" w:styleId="947">
    <w:name w:val="footnote reference"/>
    <w:basedOn w:val="966"/>
    <w:uiPriority w:val="99"/>
    <w:semiHidden/>
    <w:unhideWhenUsed/>
    <w:pPr>
      <w:pBdr/>
      <w:spacing/>
      <w:ind/>
    </w:pPr>
    <w:rPr>
      <w:vertAlign w:val="superscript"/>
    </w:rPr>
  </w:style>
  <w:style w:type="paragraph" w:styleId="948">
    <w:name w:val="endnote text"/>
    <w:basedOn w:val="965"/>
    <w:link w:val="94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9">
    <w:name w:val="Endnote Text Char"/>
    <w:basedOn w:val="966"/>
    <w:link w:val="948"/>
    <w:uiPriority w:val="99"/>
    <w:semiHidden/>
    <w:pPr>
      <w:pBdr/>
      <w:spacing/>
      <w:ind/>
    </w:pPr>
    <w:rPr>
      <w:sz w:val="20"/>
      <w:szCs w:val="20"/>
    </w:rPr>
  </w:style>
  <w:style w:type="character" w:styleId="950">
    <w:name w:val="endnote reference"/>
    <w:basedOn w:val="966"/>
    <w:uiPriority w:val="99"/>
    <w:semiHidden/>
    <w:unhideWhenUsed/>
    <w:pPr>
      <w:pBdr/>
      <w:spacing/>
      <w:ind/>
    </w:pPr>
    <w:rPr>
      <w:vertAlign w:val="superscript"/>
    </w:rPr>
  </w:style>
  <w:style w:type="character" w:styleId="951">
    <w:name w:val="Hyperlink"/>
    <w:basedOn w:val="96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52">
    <w:name w:val="FollowedHyperlink"/>
    <w:basedOn w:val="96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3">
    <w:name w:val="toc 1"/>
    <w:basedOn w:val="965"/>
    <w:next w:val="965"/>
    <w:uiPriority w:val="39"/>
    <w:unhideWhenUsed/>
    <w:pPr>
      <w:pBdr/>
      <w:spacing w:after="100"/>
      <w:ind/>
    </w:pPr>
  </w:style>
  <w:style w:type="paragraph" w:styleId="954">
    <w:name w:val="toc 2"/>
    <w:basedOn w:val="965"/>
    <w:next w:val="965"/>
    <w:uiPriority w:val="39"/>
    <w:unhideWhenUsed/>
    <w:pPr>
      <w:pBdr/>
      <w:spacing w:after="100"/>
      <w:ind w:left="220"/>
    </w:pPr>
  </w:style>
  <w:style w:type="paragraph" w:styleId="955">
    <w:name w:val="toc 3"/>
    <w:basedOn w:val="965"/>
    <w:next w:val="965"/>
    <w:uiPriority w:val="39"/>
    <w:unhideWhenUsed/>
    <w:pPr>
      <w:pBdr/>
      <w:spacing w:after="100"/>
      <w:ind w:left="440"/>
    </w:pPr>
  </w:style>
  <w:style w:type="paragraph" w:styleId="956">
    <w:name w:val="toc 4"/>
    <w:basedOn w:val="965"/>
    <w:next w:val="965"/>
    <w:uiPriority w:val="39"/>
    <w:unhideWhenUsed/>
    <w:pPr>
      <w:pBdr/>
      <w:spacing w:after="100"/>
      <w:ind w:left="660"/>
    </w:pPr>
  </w:style>
  <w:style w:type="paragraph" w:styleId="957">
    <w:name w:val="toc 5"/>
    <w:basedOn w:val="965"/>
    <w:next w:val="965"/>
    <w:uiPriority w:val="39"/>
    <w:unhideWhenUsed/>
    <w:pPr>
      <w:pBdr/>
      <w:spacing w:after="100"/>
      <w:ind w:left="880"/>
    </w:pPr>
  </w:style>
  <w:style w:type="paragraph" w:styleId="958">
    <w:name w:val="toc 6"/>
    <w:basedOn w:val="965"/>
    <w:next w:val="965"/>
    <w:uiPriority w:val="39"/>
    <w:unhideWhenUsed/>
    <w:pPr>
      <w:pBdr/>
      <w:spacing w:after="100"/>
      <w:ind w:left="1100"/>
    </w:pPr>
  </w:style>
  <w:style w:type="paragraph" w:styleId="959">
    <w:name w:val="toc 7"/>
    <w:basedOn w:val="965"/>
    <w:next w:val="965"/>
    <w:uiPriority w:val="39"/>
    <w:unhideWhenUsed/>
    <w:pPr>
      <w:pBdr/>
      <w:spacing w:after="100"/>
      <w:ind w:left="1320"/>
    </w:pPr>
  </w:style>
  <w:style w:type="paragraph" w:styleId="960">
    <w:name w:val="toc 8"/>
    <w:basedOn w:val="965"/>
    <w:next w:val="965"/>
    <w:uiPriority w:val="39"/>
    <w:unhideWhenUsed/>
    <w:pPr>
      <w:pBdr/>
      <w:spacing w:after="100"/>
      <w:ind w:left="1540"/>
    </w:pPr>
  </w:style>
  <w:style w:type="paragraph" w:styleId="961">
    <w:name w:val="toc 9"/>
    <w:basedOn w:val="965"/>
    <w:next w:val="965"/>
    <w:uiPriority w:val="39"/>
    <w:unhideWhenUsed/>
    <w:pPr>
      <w:pBdr/>
      <w:spacing w:after="100"/>
      <w:ind w:left="1760"/>
    </w:pPr>
  </w:style>
  <w:style w:type="character" w:styleId="962">
    <w:name w:val="Placeholder Text"/>
    <w:basedOn w:val="966"/>
    <w:uiPriority w:val="99"/>
    <w:semiHidden/>
    <w:pPr>
      <w:pBdr/>
      <w:spacing/>
      <w:ind/>
    </w:pPr>
    <w:rPr>
      <w:color w:val="666666"/>
    </w:rPr>
  </w:style>
  <w:style w:type="paragraph" w:styleId="963">
    <w:name w:val="TOC Heading"/>
    <w:uiPriority w:val="39"/>
    <w:unhideWhenUsed/>
    <w:pPr>
      <w:pBdr/>
      <w:spacing/>
      <w:ind/>
    </w:pPr>
  </w:style>
  <w:style w:type="paragraph" w:styleId="964">
    <w:name w:val="table of figures"/>
    <w:basedOn w:val="965"/>
    <w:next w:val="965"/>
    <w:uiPriority w:val="99"/>
    <w:unhideWhenUsed/>
    <w:pPr>
      <w:pBdr/>
      <w:spacing w:after="0" w:afterAutospacing="0"/>
      <w:ind/>
    </w:pPr>
  </w:style>
  <w:style w:type="paragraph" w:styleId="965" w:default="1">
    <w:name w:val="Normal"/>
    <w:qFormat/>
    <w:pPr>
      <w:pBdr/>
      <w:spacing/>
      <w:ind w:right="4536"/>
      <w:jc w:val="both"/>
    </w:pPr>
    <w:rPr>
      <w:rFonts w:eastAsia="Times New Roman"/>
      <w:sz w:val="22"/>
      <w:szCs w:val="22"/>
      <w:lang w:eastAsia="en-US"/>
    </w:rPr>
  </w:style>
  <w:style w:type="character" w:styleId="966" w:default="1">
    <w:name w:val="Default Paragraph Font"/>
    <w:uiPriority w:val="1"/>
    <w:semiHidden/>
    <w:unhideWhenUsed/>
    <w:pPr>
      <w:pBdr/>
      <w:spacing/>
      <w:ind/>
    </w:pPr>
  </w:style>
  <w:style w:type="table" w:styleId="96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8" w:default="1">
    <w:name w:val="No List"/>
    <w:uiPriority w:val="99"/>
    <w:semiHidden/>
    <w:unhideWhenUsed/>
    <w:pPr>
      <w:pBdr/>
      <w:spacing/>
      <w:ind/>
    </w:pPr>
  </w:style>
  <w:style w:type="paragraph" w:styleId="969" w:customStyle="1">
    <w:name w:val="ConsPlusNormal"/>
    <w:pPr>
      <w:widowControl w:val="false"/>
      <w:pBdr/>
      <w:spacing/>
      <w:ind w:firstLine="720"/>
    </w:pPr>
    <w:rPr>
      <w:rFonts w:ascii="Arial" w:hAnsi="Arial" w:cs="Arial"/>
    </w:rPr>
  </w:style>
  <w:style w:type="paragraph" w:styleId="970" w:customStyle="1">
    <w:name w:val="ConsPlusNonformat"/>
    <w:pPr>
      <w:widowControl w:val="false"/>
      <w:pBdr/>
      <w:spacing/>
      <w:ind/>
    </w:pPr>
    <w:rPr>
      <w:rFonts w:ascii="Courier New" w:hAnsi="Courier New" w:cs="Courier New"/>
    </w:rPr>
  </w:style>
  <w:style w:type="paragraph" w:styleId="971" w:customStyle="1">
    <w:name w:val="Абзац списка1"/>
    <w:basedOn w:val="965"/>
    <w:pPr>
      <w:pBdr/>
      <w:spacing/>
      <w:ind w:left="720"/>
      <w:contextualSpacing w:val="true"/>
    </w:pPr>
  </w:style>
  <w:style w:type="table" w:styleId="972">
    <w:name w:val="Table Grid"/>
    <w:basedOn w:val="967"/>
    <w:pPr>
      <w:pBdr/>
      <w:spacing/>
      <w:ind w:right="4536"/>
      <w:jc w:val="both"/>
    </w:pPr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3">
    <w:name w:val="Balloon Text"/>
    <w:basedOn w:val="965"/>
    <w:link w:val="974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74" w:customStyle="1">
    <w:name w:val="Текст выноски Знак"/>
    <w:basedOn w:val="966"/>
    <w:link w:val="973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5" w:customStyle="1">
    <w:name w:val="ConsPlusCell"/>
    <w:uiPriority w:val="99"/>
    <w:pPr>
      <w:pBdr/>
      <w:spacing/>
      <w:ind/>
    </w:pPr>
    <w:rPr>
      <w:rFonts w:ascii="Arial" w:hAnsi="Arial" w:cs="Arial"/>
    </w:rPr>
  </w:style>
  <w:style w:type="paragraph" w:styleId="976">
    <w:name w:val="List Paragraph"/>
    <w:basedOn w:val="965"/>
    <w:uiPriority w:val="34"/>
    <w:qFormat/>
    <w:pPr>
      <w:pBdr/>
      <w:spacing/>
      <w:ind w:left="720"/>
      <w:contextualSpacing w:val="true"/>
    </w:pPr>
  </w:style>
  <w:style w:type="paragraph" w:styleId="977" w:customStyle="1">
    <w:name w:val="ConsPlusTitle"/>
    <w:uiPriority w:val="99"/>
    <w:pPr>
      <w:pBdr/>
      <w:spacing/>
      <w:ind/>
    </w:pPr>
    <w:rPr>
      <w:rFonts w:ascii="Times New Roman" w:hAnsi="Times New Roman" w:eastAsia="Times New Roman"/>
      <w:b/>
      <w:bCs/>
      <w:sz w:val="28"/>
      <w:szCs w:val="28"/>
    </w:rPr>
  </w:style>
  <w:style w:type="paragraph" w:styleId="978">
    <w:name w:val="Header"/>
    <w:basedOn w:val="965"/>
    <w:link w:val="979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79" w:customStyle="1">
    <w:name w:val="Верхний колонтитул Знак"/>
    <w:basedOn w:val="966"/>
    <w:link w:val="978"/>
    <w:uiPriority w:val="99"/>
    <w:pPr>
      <w:pBdr/>
      <w:spacing/>
      <w:ind/>
    </w:pPr>
    <w:rPr>
      <w:rFonts w:eastAsia="Times New Roman"/>
      <w:sz w:val="22"/>
      <w:szCs w:val="22"/>
      <w:lang w:eastAsia="en-US"/>
    </w:rPr>
  </w:style>
  <w:style w:type="paragraph" w:styleId="980">
    <w:name w:val="Footer"/>
    <w:basedOn w:val="965"/>
    <w:link w:val="981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81" w:customStyle="1">
    <w:name w:val="Нижний колонтитул Знак"/>
    <w:basedOn w:val="966"/>
    <w:link w:val="980"/>
    <w:uiPriority w:val="99"/>
    <w:pPr>
      <w:pBdr/>
      <w:spacing/>
      <w:ind/>
    </w:pPr>
    <w:rPr>
      <w:rFonts w:eastAsia="Times New Roman"/>
      <w:sz w:val="22"/>
      <w:szCs w:val="22"/>
      <w:lang w:eastAsia="en-US"/>
    </w:rPr>
  </w:style>
  <w:style w:type="paragraph" w:styleId="982" w:customStyle="1">
    <w:name w:val="Обычный1"/>
    <w:pPr>
      <w:pBdr/>
      <w:spacing/>
      <w:ind/>
    </w:pPr>
    <w:rPr>
      <w:rFonts w:ascii="Times New Roman" w:hAnsi="Times New Roman" w:eastAsia="Times New Roman"/>
    </w:rPr>
  </w:style>
  <w:style w:type="paragraph" w:styleId="983" w:customStyle="1">
    <w:name w:val="Обычный2"/>
    <w:pPr>
      <w:pBdr/>
      <w:spacing/>
      <w:ind/>
    </w:pPr>
    <w:rPr>
      <w:rFonts w:ascii="Times New Roman" w:hAnsi="Times New Roman" w:eastAsia="Times New Roman"/>
    </w:rPr>
  </w:style>
  <w:style w:type="paragraph" w:styleId="984" w:customStyle="1">
    <w:name w:val="Название1"/>
    <w:basedOn w:val="982"/>
    <w:pPr>
      <w:pBdr/>
      <w:spacing/>
      <w:ind/>
      <w:jc w:val="center"/>
    </w:pPr>
    <w:rPr>
      <w:b/>
      <w:sz w:val="28"/>
    </w:rPr>
  </w:style>
  <w:style w:type="paragraph" w:styleId="985" w:customStyle="1">
    <w:name w:val="171"/>
    <w:basedOn w:val="965"/>
    <w:pPr>
      <w:pBdr/>
      <w:spacing w:after="100" w:afterAutospacing="1" w:before="100" w:beforeAutospacing="1"/>
      <w:ind w:righ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986">
    <w:name w:val="Normal (Web)"/>
    <w:basedOn w:val="965"/>
    <w:uiPriority w:val="99"/>
    <w:unhideWhenUsed/>
    <w:pPr>
      <w:pBdr/>
      <w:spacing w:after="100" w:afterAutospacing="1" w:before="100" w:beforeAutospacing="1"/>
      <w:ind w:right="0"/>
      <w:jc w:val="left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E29E3-AE02-43E5-B24D-E6BBFD08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ТО ДК МФ РТ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lenaz</dc:creator>
  <cp:revision>21</cp:revision>
  <dcterms:created xsi:type="dcterms:W3CDTF">2024-08-20T07:36:00Z</dcterms:created>
  <dcterms:modified xsi:type="dcterms:W3CDTF">2025-08-22T07:03:32Z</dcterms:modified>
</cp:coreProperties>
</file>