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ПРОЕКТ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КАБИНЕТ МИНИСТРОВ РЕСПУБЛИКИ ТАТАРСТАН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ПОСТАНОВЛЕНИЕ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«___» _______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202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5</w:t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</w:r>
      <w:r>
        <w:rPr>
          <w:rFonts w:ascii="Times New Roman" w:hAnsi="Times New Roman" w:eastAsia="Calibri"/>
          <w:sz w:val="28"/>
          <w:szCs w:val="28"/>
          <w:lang w:eastAsia="en-US"/>
        </w:rPr>
        <w:tab/>
        <w:t xml:space="preserve">№ ___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г. Казань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/>
          <w:color w:val="000000"/>
          <w:sz w:val="28"/>
          <w:szCs w:val="28"/>
          <w:lang w:val="tt-RU"/>
        </w:rPr>
      </w:r>
      <w:r>
        <w:rPr>
          <w:rFonts w:ascii="Times New Roman" w:hAnsi="Times New Roman"/>
          <w:color w:val="000000"/>
          <w:sz w:val="28"/>
          <w:szCs w:val="28"/>
          <w:lang w:val="tt-RU"/>
        </w:rPr>
      </w:r>
    </w:p>
    <w:p>
      <w:pPr>
        <w:widowControl w:val="false"/>
        <w:pBdr/>
        <w:spacing w:after="0" w:line="240" w:lineRule="auto"/>
        <w:ind w:right="510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внесен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ии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изменений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Положение об условиях оплаты труда работников </w:t>
      </w:r>
      <w:r>
        <w:rPr>
          <w:rFonts w:ascii="Times New Roman" w:hAnsi="Times New Roman"/>
          <w:color w:val="000000"/>
          <w:sz w:val="28"/>
          <w:szCs w:val="28"/>
        </w:rPr>
        <w:t xml:space="preserve">государственных научных организаций Республики Татарстан, утвержденное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</w:t>
      </w:r>
      <w:r>
        <w:rPr>
          <w:rFonts w:ascii="Times New Roman" w:hAnsi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Кабинета Министров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 xml:space="preserve">09.12.2021 № 1206 «Об условиях оплаты труда работников государственных научных организаций Республики Татарстан»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widowControl w:val="false"/>
        <w:pBdr/>
        <w:spacing w:after="0" w:line="36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widowControl w:val="false"/>
        <w:pBdr/>
        <w:spacing w:after="0" w:line="360" w:lineRule="auto"/>
        <w:ind/>
        <w:rPr>
          <w:rFonts w:ascii="Times New Roman" w:hAnsi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/>
          <w:color w:val="000000"/>
          <w:sz w:val="28"/>
          <w:szCs w:val="28"/>
          <w:lang w:val="tt-RU"/>
        </w:rPr>
      </w:r>
      <w:r>
        <w:rPr>
          <w:rFonts w:ascii="Times New Roman" w:hAnsi="Times New Roman"/>
          <w:color w:val="000000"/>
          <w:sz w:val="28"/>
          <w:szCs w:val="28"/>
          <w:lang w:val="tt-RU"/>
        </w:rPr>
      </w:r>
      <w:r>
        <w:rPr>
          <w:rFonts w:ascii="Times New Roman" w:hAnsi="Times New Roman"/>
          <w:color w:val="000000"/>
          <w:sz w:val="28"/>
          <w:szCs w:val="28"/>
          <w:lang w:val="tt-RU"/>
        </w:rPr>
      </w:r>
    </w:p>
    <w:p>
      <w:pPr>
        <w:widowControl w:val="false"/>
        <w:pBdr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widowControl w:val="false"/>
        <w:pBdr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  <w:lang w:val="tt-RU"/>
        </w:rPr>
      </w:pPr>
      <w:r>
        <w:rPr>
          <w:rFonts w:ascii="Times New Roman" w:hAnsi="Times New Roman"/>
          <w:color w:val="000000"/>
          <w:sz w:val="28"/>
          <w:szCs w:val="28"/>
          <w:lang w:val="tt-RU"/>
        </w:rPr>
      </w:r>
      <w:r>
        <w:rPr>
          <w:rFonts w:ascii="Times New Roman" w:hAnsi="Times New Roman"/>
          <w:color w:val="000000"/>
          <w:sz w:val="28"/>
          <w:szCs w:val="28"/>
          <w:lang w:val="tt-RU"/>
        </w:rPr>
      </w:r>
      <w:r>
        <w:rPr>
          <w:rFonts w:ascii="Times New Roman" w:hAnsi="Times New Roman"/>
          <w:color w:val="000000"/>
          <w:sz w:val="28"/>
          <w:szCs w:val="28"/>
          <w:lang w:val="tt-RU"/>
        </w:rPr>
      </w:r>
    </w:p>
    <w:p>
      <w:pPr>
        <w:widowControl w:val="false"/>
        <w:pBdr/>
        <w:spacing w:after="0" w:line="360" w:lineRule="auto"/>
        <w:ind w:firstLine="709"/>
        <w:jc w:val="both"/>
        <w:rPr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</w:t>
      </w:r>
      <w:r>
        <w:rPr>
          <w:rFonts w:ascii="Times New Roman" w:hAnsi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>
        <w:rPr>
          <w:rFonts w:ascii="Times New Roman" w:hAnsi="Times New Roman"/>
          <w:color w:val="000000"/>
          <w:sz w:val="28"/>
          <w:szCs w:val="28"/>
        </w:rPr>
        <w:t xml:space="preserve">в Положение об условиях оплаты труда работников государственных научных организаций Республики Татарстан, утвержденное</w:t>
      </w:r>
      <w:r>
        <w:rPr>
          <w:rFonts w:ascii="Times New Roman" w:hAnsi="Times New Roman"/>
          <w:color w:val="000000"/>
          <w:sz w:val="28"/>
          <w:szCs w:val="28"/>
        </w:rPr>
        <w:t xml:space="preserve"> постановление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м</w:t>
      </w:r>
      <w:r>
        <w:rPr>
          <w:rFonts w:ascii="Times New Roman" w:hAnsi="Times New Roman"/>
          <w:color w:val="000000"/>
          <w:sz w:val="28"/>
          <w:szCs w:val="28"/>
        </w:rPr>
        <w:t xml:space="preserve"> Кабинета Министров Республики Татарстан </w:t>
      </w:r>
      <w:r>
        <w:rPr>
          <w:rFonts w:ascii="Times New Roman" w:hAnsi="Times New Roman"/>
          <w:color w:val="000000"/>
          <w:sz w:val="28"/>
          <w:szCs w:val="28"/>
        </w:rPr>
        <w:t xml:space="preserve">от 09.12.2021 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1206 «Об условиях оплаты труда работников государственных научных организаций Республики Татарстан»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(с изменениями, внесенными постановлени</w:t>
      </w:r>
      <w:r>
        <w:rPr>
          <w:rFonts w:ascii="Times New Roman" w:hAnsi="Times New Roman"/>
          <w:color w:val="000000"/>
          <w:sz w:val="28"/>
          <w:szCs w:val="28"/>
        </w:rPr>
        <w:t xml:space="preserve">ями</w:t>
      </w:r>
      <w:r>
        <w:rPr>
          <w:rFonts w:ascii="Times New Roman" w:hAnsi="Times New Roman"/>
          <w:color w:val="000000"/>
          <w:sz w:val="28"/>
          <w:szCs w:val="28"/>
        </w:rPr>
        <w:t xml:space="preserve"> Кабинета Министров Республики Татарстан </w:t>
      </w:r>
      <w:r>
        <w:rPr>
          <w:rFonts w:ascii="Times New Roman" w:hAnsi="Times New Roman"/>
          <w:color w:val="000000"/>
          <w:sz w:val="28"/>
          <w:szCs w:val="28"/>
        </w:rPr>
        <w:t xml:space="preserve">о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т 22.09.2022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1027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от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04.06.2024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404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, о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т 06.06.2024              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№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411, от 09.09.2024 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№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750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, от 22.04.2025 №257)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 следующие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pBdr/>
        <w:tabs>
          <w:tab w:val="left" w:leader="none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II изложить в следующей редакции: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54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«II. Определение базовых окладов </w:t>
      </w:r>
      <w:bookmarkStart w:id="0" w:name="_Hlk164350419"/>
      <w:r>
        <w:rPr>
          <w:rFonts w:ascii="Times New Roman" w:hAnsi="Times New Roman"/>
          <w:bCs/>
          <w:sz w:val="28"/>
          <w:szCs w:val="28"/>
        </w:rPr>
        <w:t xml:space="preserve">работников научных организаций</w:t>
      </w:r>
      <w:bookmarkEnd w:id="0"/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Базовые оклады работников профессиональных квалификационных групп должностей работников сферы научных исследований и разработок устанавливаются в следующих размерах: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5"/>
        <w:pBdr/>
        <w:spacing w:after="0" w:line="360" w:lineRule="auto"/>
        <w:ind w:firstLine="540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tbl>
      <w:tblPr>
        <w:tblW w:w="10060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4253"/>
        <w:gridCol w:w="2268"/>
      </w:tblGrid>
      <w:tr>
        <w:trPr>
          <w:trHeight w:val="20"/>
          <w:tblHeader/>
        </w:trPr>
        <w:tc>
          <w:tcPr>
            <w:tcBorders/>
            <w:tcW w:w="3539" w:type="dxa"/>
            <w:textDirection w:val="lrTb"/>
            <w:noWrap w:val="false"/>
          </w:tcPr>
          <w:p>
            <w:pPr>
              <w:pStyle w:val="927"/>
              <w:pBdr/>
              <w:spacing/>
              <w:ind/>
              <w:jc w:val="center"/>
              <w:rPr/>
            </w:pPr>
            <w:r>
              <w:t xml:space="preserve">Квалификационный уровень</w:t>
            </w:r>
            <w:r/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Style w:val="927"/>
              <w:pBdr/>
              <w:spacing/>
              <w:ind/>
              <w:jc w:val="center"/>
              <w:rPr/>
            </w:pPr>
            <w:r>
              <w:t xml:space="preserve">Наименование должности</w:t>
            </w:r>
            <w:r/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Style w:val="927"/>
              <w:pBdr/>
              <w:spacing/>
              <w:ind/>
              <w:jc w:val="center"/>
              <w:rPr/>
            </w:pPr>
            <w:r>
              <w:t xml:space="preserve">Размер базового оклада в месяц, рублей</w:t>
            </w:r>
            <w:r/>
          </w:p>
        </w:tc>
      </w:tr>
    </w:tbl>
    <w:p>
      <w:pPr>
        <w:pBdr/>
        <w:spacing w:after="0" w:line="240" w:lineRule="auto"/>
        <w:ind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10060" w:type="dxa"/>
        <w:tblCellMar>
          <w:left w:w="62" w:type="dxa"/>
          <w:right w:w="62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4253"/>
        <w:gridCol w:w="2268"/>
      </w:tblGrid>
      <w:tr>
        <w:trPr>
          <w:trHeight w:val="20"/>
          <w:tblHeader/>
        </w:trPr>
        <w:tc>
          <w:tcPr>
            <w:tcBorders>
              <w:bottom w:val="single" w:color="auto" w:sz="4" w:space="0"/>
            </w:tcBorders>
            <w:tcW w:w="35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0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должностей научно-технических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работников второго уровня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53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Лаборант-исследователь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30 090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20"/>
        </w:trPr>
        <w:tc>
          <w:tcPr>
            <w:tcBorders/>
            <w:tcW w:w="35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right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Стажер-исследователь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должностей научно-технических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работников третьего уровня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5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Инженер-исследователь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30 140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должностей научных работников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53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Младший научный сотрудник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30 580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20"/>
        </w:trPr>
        <w:tc>
          <w:tcPr>
            <w:tcBorders/>
            <w:tcW w:w="35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Научный сотрудник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20"/>
        </w:trPr>
        <w:tc>
          <w:tcPr>
            <w:tcBorders/>
            <w:tcW w:w="35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Старший научный сотрудник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30 800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20"/>
        </w:trPr>
        <w:tc>
          <w:tcPr>
            <w:tcBorders/>
            <w:tcW w:w="35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Ведущий научный сотрудник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30 910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20"/>
        </w:trPr>
        <w:tc>
          <w:tcPr>
            <w:tcBorders/>
            <w:tcW w:w="35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научный сотрудник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31 680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 должностей руководителей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структурных подразделений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/>
            <w:tcW w:w="35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квалификационный уровень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(начальник): техническим архивом, чертежно-копировальным бюро, лабораторией компьютерного и фото-, кинооборудования, оргтехники, средств связи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30 580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20"/>
        </w:trPr>
        <w:tc>
          <w:tcPr>
            <w:tcBorders/>
            <w:tcW w:w="35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Второй квалификационный уровень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(начальник): аспирантурой, отделом научно-технической информации, другим структурным подразделением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*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30 800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20"/>
        </w:trPr>
        <w:tc>
          <w:tcPr>
            <w:tcBorders/>
            <w:tcW w:w="35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Третий квалификационный уровень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(начальник) научно-исследовательским сектором (лабораторией), входящим в состав научно-исследовательского отдела (лаборатории, отделения)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30 910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20"/>
        </w:trPr>
        <w:tc>
          <w:tcPr>
            <w:tcBorders/>
            <w:tcW w:w="3539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Четвертый квалификационный уровень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Заведующий (начальник) научно-исследовательским (конструкторским), экспертным отделом (лабораторией, отделением, сектором)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Align w:val="top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31 680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20"/>
        </w:trPr>
        <w:tc>
          <w:tcPr>
            <w:tcBorders/>
            <w:tcW w:w="3539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Ученый секретарь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20"/>
        </w:trPr>
        <w:tc>
          <w:tcPr>
            <w:tcBorders/>
            <w:tcW w:w="35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Пятый квалификационный уровень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2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(заведующий) обособленного подразделения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 w:firstLine="0" w:left="36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72 050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</w:r>
          </w:p>
        </w:tc>
      </w:tr>
      <w:tr>
        <w:trPr>
          <w:trHeight w:val="20"/>
        </w:trPr>
        <w:tc>
          <w:tcPr>
            <w:gridSpan w:val="3"/>
            <w:tcBorders/>
            <w:tcW w:w="100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*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исключением должностей руководителей структурных подразделений, отнесенных к третьему – пятому квалификационным уровням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925"/>
        <w:pBdr/>
        <w:spacing w:after="0" w:afterAutospacing="0" w:line="360" w:lineRule="auto"/>
        <w:ind w:left="1069"/>
        <w:jc w:val="both"/>
        <w:rPr>
          <w:rFonts w:ascii="Times New Roman" w:hAnsi="Times New Roman"/>
          <w:sz w:val="28"/>
          <w:szCs w:val="28"/>
        </w:rPr>
      </w:pPr>
      <w:r/>
      <w:bookmarkStart w:id="1" w:name="Par80"/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360" w:lineRule="auto"/>
        <w:ind w:firstLine="567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  <w:t xml:space="preserve">При введении в научной организации должности заместителя начальника (заведующего) обособленного подразделения его базовый оклад устанавливается в размере 0,8 базового оклада начальника (заведующего) обособленного подразделения.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</w:p>
    <w:p>
      <w:pPr>
        <w:pBdr/>
        <w:spacing w:after="0" w:afterAutospacing="0" w:line="360" w:lineRule="auto"/>
        <w:ind w:firstLine="567"/>
        <w:jc w:val="both"/>
        <w:rPr>
          <w:rFonts w:ascii="Times New Roman" w:hAnsi="Times New Roman" w:cs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2.2. Базовые оклады работников профессиональных квалификационных групп должностей профессорско-преподавательского состава устанавливаются в следующих размерах:</w:t>
      </w:r>
      <w:r>
        <w:rPr>
          <w:rFonts w:ascii="Times New Roman" w:hAnsi="Times New Roman" w:cs="Times New Roman" w:eastAsiaTheme="minorEastAsia"/>
          <w:sz w:val="28"/>
          <w:szCs w:val="28"/>
          <w:lang w:eastAsia="ru-RU"/>
        </w:rPr>
      </w:r>
      <w:r/>
    </w:p>
    <w:p>
      <w:pPr>
        <w:pBdr/>
        <w:spacing w:after="0" w:afterAutospacing="0" w:line="36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Ind w:w="15" w:type="dxa"/>
        <w:tblW w:w="10183" w:type="dxa"/>
        <w:tblCellMar>
          <w:left w:w="0" w:type="dxa"/>
          <w:right w:w="0" w:type="dxa"/>
        </w:tblCellMar>
        <w:tblBorders/>
        <w:tblLook w:val="04A0" w:firstRow="1" w:lastRow="0" w:firstColumn="1" w:lastColumn="0" w:noHBand="0" w:noVBand="1"/>
      </w:tblPr>
      <w:tblGrid>
        <w:gridCol w:w="3521"/>
        <w:gridCol w:w="3402"/>
        <w:gridCol w:w="3260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2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8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8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 должности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8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Размер базового оклада в месяц, рублей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21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8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Профессиональная квалификационная группа должностей профессорско-преподавательского состава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2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8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8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Старший преподаватель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29 480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 w:right="138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2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8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Третий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8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Доцент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30 690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 w:right="138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2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8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Четвертый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40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8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Профессор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31 020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 w:right="138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36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2.3. Базовые оклады работников профессиональных квалификационных групп должностей работников культуры, искусства и кинематографии устанавливаются в следующих размерах: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</w:r>
    </w:p>
    <w:tbl>
      <w:tblPr>
        <w:tblInd w:w="15" w:type="dxa"/>
        <w:tblW w:w="10183" w:type="dxa"/>
        <w:tblCellMar>
          <w:left w:w="0" w:type="dxa"/>
          <w:right w:w="0" w:type="dxa"/>
        </w:tblCellMar>
        <w:tblBorders/>
        <w:tblLook w:val="04A0" w:firstRow="1" w:lastRow="0" w:firstColumn="1" w:lastColumn="0" w:noHBand="0" w:noVBand="1"/>
      </w:tblPr>
      <w:tblGrid>
        <w:gridCol w:w="5281"/>
        <w:gridCol w:w="4902"/>
      </w:tblGrid>
      <w:tr>
        <w:trPr>
          <w:trHeight w:val="65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65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 должности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0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5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Размер базового оклада в месяц, рублей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65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02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5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653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5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Должности технических исполнителей и артистов вспомогательного состава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65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Смотритель музейный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27 060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653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5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Должности работников культуры, искусства и кинематографии ведущего звена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65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Библиотекарь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02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27 450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 w:right="65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65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Библиограф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0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65" w:left="112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65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Ведущий библиотекарь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0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65" w:left="112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3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65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Ведущий библиограф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0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65" w:left="112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65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Художник-конструктор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0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65" w:left="112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653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3" w:type="dxa"/>
            <w:textDirection w:val="lrTb"/>
            <w:noWrap w:val="false"/>
          </w:tcPr>
          <w:p>
            <w:pPr>
              <w:pBdr/>
              <w:spacing w:after="0" w:line="240" w:lineRule="auto"/>
              <w:ind w:right="65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Должности руководящего состава учреждений культуры, искусства и кинематографии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65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65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Заведующий отделом (сектором) библиотеки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0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27 500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 w:right="65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36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2.4. Базовые оклады работников профессиональных квалификационных групп должностей работников печатных средств массовой информации устанавливаются в следующих размерах: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Ind w:w="15" w:type="dxa"/>
        <w:tblW w:w="10032" w:type="dxa"/>
        <w:tblCellMar>
          <w:left w:w="0" w:type="dxa"/>
          <w:right w:w="0" w:type="dxa"/>
        </w:tblCellMar>
        <w:tblBorders/>
        <w:tblLook w:val="04A0" w:firstRow="1" w:lastRow="0" w:firstColumn="1" w:lastColumn="0" w:noHBand="0" w:noVBand="1"/>
      </w:tblPr>
      <w:tblGrid>
        <w:gridCol w:w="3412"/>
        <w:gridCol w:w="3070"/>
        <w:gridCol w:w="3550"/>
      </w:tblGrid>
      <w:tr>
        <w:trPr>
          <w:trHeight w:val="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Наименование должности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Размер базового оклада в месяц, рублей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5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должностей работников печатных средств массовой информации первого уровня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Оператор компьютерного набора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27 370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 w:right="33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5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должностей работников печатных средств массовой информации второго уровня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Корректор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27 380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 w:right="33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Технический редактор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Референт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27 390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 w:right="33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5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должностей работников печатных средств массовой информации третьего уровня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Редактор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27 400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 w:right="33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Третий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Редактор II категории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27 410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 w:right="33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Четвертый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Редактор I категории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27 420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  <w:p>
            <w:pPr>
              <w:pBdr/>
              <w:spacing w:after="0" w:line="240" w:lineRule="auto"/>
              <w:ind w:right="33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15"/>
        </w:trPr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Профессиональная квалификационная группа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группа должностей работников печатных средств массовой информации четвертого уровня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42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Третий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right="33" w:left="11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Главный редактор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27 430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36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2.5. Базовые оклады работников общеотраслевых профессий рабочих устанавливаются в следующих размерах: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Ind w:w="15" w:type="dxa"/>
        <w:tblW w:w="9989" w:type="dxa"/>
        <w:tblCellMar>
          <w:left w:w="0" w:type="dxa"/>
          <w:right w:w="0" w:type="dxa"/>
        </w:tblCellMar>
        <w:tblBorders/>
        <w:tblLook w:val="04A0" w:firstRow="1" w:lastRow="0" w:firstColumn="1" w:lastColumn="0" w:noHBand="0" w:noVBand="1"/>
      </w:tblPr>
      <w:tblGrid>
        <w:gridCol w:w="5027"/>
        <w:gridCol w:w="4962"/>
      </w:tblGrid>
      <w:tr>
        <w:trPr>
          <w:trHeight w:val="64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Размер базового оклада в месяц, рублей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1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642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Общеотраслевые профессии рабочих первого уровня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25 650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1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25 870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642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Профессиональная квалификационная группа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Общеотраслевые профессии рабочих второго уровня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26 030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1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26 220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Третий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26 420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Четвертый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top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27 010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36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2.6. Базовые оклады работников общеотраслевых должностей руководителей, специалистов и служащих устанавливаются в следующих размерах: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Bdr/>
        <w:spacing w:after="0" w:line="360" w:lineRule="auto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Ind w:w="15" w:type="dxa"/>
        <w:tblW w:w="10042" w:type="dxa"/>
        <w:tblCellMar>
          <w:left w:w="0" w:type="dxa"/>
          <w:right w:w="0" w:type="dxa"/>
        </w:tblCellMar>
        <w:tblBorders/>
        <w:tblLook w:val="04A0" w:firstRow="1" w:lastRow="0" w:firstColumn="1" w:lastColumn="0" w:noHBand="0" w:noVBand="1"/>
      </w:tblPr>
      <w:tblGrid>
        <w:gridCol w:w="4939"/>
        <w:gridCol w:w="5103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 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Размер базового оклада в месяц, рублей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3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Общеотраслевые должности служащих первого уровня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39" w:type="dxa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25 650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39" w:type="dxa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25 870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Общеотраслевые должности служащих второго уровня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6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39" w:type="dxa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26 030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39" w:type="dxa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26 220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39" w:type="dxa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Третий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26 420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39" w:type="dxa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Четвертый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26 660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39" w:type="dxa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Пятый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26 870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Общеотраслевые должности служащих третьего уровня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39" w:type="dxa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27 080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3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39" w:type="dxa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27 300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39" w:type="dxa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Третий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27 560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39" w:type="dxa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Четвертый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27 780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39" w:type="dxa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Пятый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28 000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0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Профессиональная квалификационная группа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Общеотраслевые должности служащих четвертого уровня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39" w:type="dxa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Первый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29 040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39" w:type="dxa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Второй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29 260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30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39" w:type="dxa"/>
            <w:textDirection w:val="lrTb"/>
            <w:noWrap w:val="false"/>
          </w:tcPr>
          <w:p>
            <w:pPr>
              <w:pBdr/>
              <w:spacing w:after="0" w:line="240" w:lineRule="auto"/>
              <w:ind w:left="135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Третий квалификационный уровень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29 480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  <w:t xml:space="preserve">»</w:t>
            </w:r>
            <w: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927"/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uppressLineNumbers w:val="false"/>
        <w:pBdr/>
        <w:spacing w:after="0" w:line="360" w:lineRule="auto"/>
        <w:ind w:firstLine="709"/>
        <w:contextualSpacing w:val="fals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</w:rPr>
        <w:t xml:space="preserve">в абзаце </w:t>
      </w:r>
      <w:r>
        <w:rPr>
          <w:rFonts w:ascii="Times New Roman" w:hAnsi="Times New Roman"/>
          <w:color w:val="000000"/>
          <w:sz w:val="28"/>
          <w:szCs w:val="28"/>
        </w:rPr>
        <w:t xml:space="preserve">первом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пункт</w:t>
      </w:r>
      <w:r>
        <w:rPr>
          <w:rFonts w:ascii="Times New Roman" w:hAnsi="Times New Roman"/>
          <w:bCs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11</w:t>
      </w:r>
      <w:r>
        <w:rPr>
          <w:rFonts w:ascii="Times New Roman" w:hAnsi="Times New Roman"/>
          <w:sz w:val="28"/>
          <w:szCs w:val="28"/>
          <w:highlight w:val="none"/>
          <w:vertAlign w:val="superscript"/>
        </w:rPr>
        <w:t xml:space="preserve">1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цифр</w:t>
      </w:r>
      <w:r>
        <w:rPr>
          <w:rFonts w:ascii="Times New Roman" w:hAnsi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6 500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заменить </w:t>
      </w:r>
      <w:r>
        <w:rPr>
          <w:rFonts w:ascii="Times New Roman" w:hAnsi="Times New Roman"/>
          <w:sz w:val="28"/>
          <w:szCs w:val="28"/>
          <w:highlight w:val="none"/>
        </w:rPr>
        <w:t xml:space="preserve">цифр</w:t>
      </w:r>
      <w:r>
        <w:rPr>
          <w:rFonts w:ascii="Times New Roman" w:hAnsi="Times New Roman"/>
          <w:sz w:val="28"/>
          <w:szCs w:val="28"/>
          <w:highlight w:val="none"/>
        </w:rPr>
        <w:t xml:space="preserve">ами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7 150»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 Установить, что настоящее постановление вступает в силу с 1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widowControl w:val="false"/>
        <w:pBdr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  <w:sz w:val="28"/>
          <w:szCs w:val="28"/>
          <w:lang w:eastAsia="ru-RU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Премьер-министр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widowControl w:val="false"/>
        <w:pBdr/>
        <w:tabs>
          <w:tab w:val="right" w:leader="none" w:pos="10205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А.В.</w:t>
      </w:r>
      <w:r>
        <w:rPr>
          <w:rFonts w:ascii="Times New Roman" w:hAnsi="Times New Roman"/>
          <w:color w:val="000000"/>
          <w:sz w:val="28"/>
          <w:szCs w:val="28"/>
          <w:highlight w:val="none"/>
        </w:rPr>
        <w:t xml:space="preserve">Песошин</w:t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z w:val="28"/>
          <w:szCs w:val="28"/>
          <w:highlight w:val="none"/>
        </w:rPr>
      </w:r>
    </w:p>
    <w:p>
      <w:pPr>
        <w:widowControl w:val="false"/>
        <w:pBdr/>
        <w:tabs>
          <w:tab w:val="right" w:leader="none" w:pos="10205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widowControl w:val="false"/>
        <w:pBdr/>
        <w:tabs>
          <w:tab w:val="right" w:leader="none" w:pos="10205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sectPr>
      <w:headerReference w:type="default" r:id="rId9"/>
      <w:footnotePr>
        <w:pos w:val="beneathText"/>
      </w:footnotePr>
      <w:endnotePr/>
      <w:type w:val="nextPage"/>
      <w:pgSz w:h="16838" w:orient="portrait" w:w="11906"/>
      <w:pgMar w:top="1134" w:right="567" w:bottom="1134" w:left="1134" w:header="510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pBdr/>
      <w:spacing/>
      <w:ind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8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  <w:p>
    <w:pPr>
      <w:pStyle w:val="913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60" w:left="720"/>
      </w:pPr>
      <w:rPr>
        <w:rFonts w:hint="default"/>
      </w:rPr>
      <w:start w:val="58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 w:eastAsia="Times New Roman" w:cs="Times New Roman"/>
      </w:rPr>
      <w:start w:val="5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571"/>
      </w:pPr>
      <w:rPr>
        <w:rFonts w:hint="default"/>
      </w:rPr>
      <w:start w:val="6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571"/>
      </w:pPr>
      <w:rPr>
        <w:rFonts w:hint="default"/>
        <w:color w:val="ff0000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1931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2291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2651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3011"/>
      </w:pPr>
      <w:rPr>
        <w:rFonts w:hint="default"/>
      </w:rPr>
      <w:start w:val="1"/>
      <w:suff w:val="tab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asciiTheme="minorHAnsi" w:hAnsiTheme="minorHAnsi" w:cstheme="minorHAns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1">
    <w:name w:val="Table Grid Light"/>
    <w:basedOn w:val="9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1"/>
    <w:basedOn w:val="9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2"/>
    <w:basedOn w:val="90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 - Accent 1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2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3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4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5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6"/>
    <w:basedOn w:val="9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1 Light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5 Dark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6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7 Colorful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Bordered &amp; Lined - Accent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 1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2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3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4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5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6"/>
    <w:basedOn w:val="9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- Accent 1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2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3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4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5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6"/>
    <w:basedOn w:val="9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6">
    <w:name w:val="Heading 1"/>
    <w:basedOn w:val="907"/>
    <w:next w:val="907"/>
    <w:link w:val="86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57">
    <w:name w:val="Heading 2"/>
    <w:basedOn w:val="907"/>
    <w:next w:val="907"/>
    <w:link w:val="86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58">
    <w:name w:val="Heading 3"/>
    <w:basedOn w:val="907"/>
    <w:next w:val="907"/>
    <w:link w:val="86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59">
    <w:name w:val="Heading 4"/>
    <w:basedOn w:val="907"/>
    <w:next w:val="907"/>
    <w:link w:val="86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0">
    <w:name w:val="Heading 5"/>
    <w:basedOn w:val="907"/>
    <w:next w:val="907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1">
    <w:name w:val="Heading 6"/>
    <w:basedOn w:val="907"/>
    <w:next w:val="907"/>
    <w:link w:val="87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2">
    <w:name w:val="Heading 7"/>
    <w:basedOn w:val="907"/>
    <w:next w:val="907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3">
    <w:name w:val="Heading 8"/>
    <w:basedOn w:val="907"/>
    <w:next w:val="907"/>
    <w:link w:val="87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4">
    <w:name w:val="Heading 9"/>
    <w:basedOn w:val="907"/>
    <w:next w:val="907"/>
    <w:link w:val="87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5">
    <w:name w:val="Heading 1 Char"/>
    <w:basedOn w:val="908"/>
    <w:link w:val="8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6">
    <w:name w:val="Heading 2 Char"/>
    <w:basedOn w:val="908"/>
    <w:link w:val="8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7">
    <w:name w:val="Heading 3 Char"/>
    <w:basedOn w:val="908"/>
    <w:link w:val="8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8">
    <w:name w:val="Heading 4 Char"/>
    <w:basedOn w:val="908"/>
    <w:link w:val="8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69">
    <w:name w:val="Heading 5 Char"/>
    <w:basedOn w:val="908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0">
    <w:name w:val="Heading 6 Char"/>
    <w:basedOn w:val="908"/>
    <w:link w:val="8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1">
    <w:name w:val="Heading 7 Char"/>
    <w:basedOn w:val="908"/>
    <w:link w:val="8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2">
    <w:name w:val="Heading 8 Char"/>
    <w:basedOn w:val="908"/>
    <w:link w:val="8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3">
    <w:name w:val="Heading 9 Char"/>
    <w:basedOn w:val="908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4">
    <w:name w:val="Title"/>
    <w:basedOn w:val="907"/>
    <w:next w:val="907"/>
    <w:link w:val="87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5">
    <w:name w:val="Title Char"/>
    <w:basedOn w:val="908"/>
    <w:link w:val="87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6">
    <w:name w:val="Subtitle"/>
    <w:basedOn w:val="907"/>
    <w:next w:val="907"/>
    <w:link w:val="87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7">
    <w:name w:val="Subtitle Char"/>
    <w:basedOn w:val="908"/>
    <w:link w:val="87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8">
    <w:name w:val="Quote"/>
    <w:basedOn w:val="907"/>
    <w:next w:val="907"/>
    <w:link w:val="87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79">
    <w:name w:val="Quote Char"/>
    <w:basedOn w:val="908"/>
    <w:link w:val="87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0">
    <w:name w:val="Intense Emphasis"/>
    <w:basedOn w:val="9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1">
    <w:name w:val="Intense Quote"/>
    <w:basedOn w:val="907"/>
    <w:next w:val="907"/>
    <w:link w:val="88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2">
    <w:name w:val="Intense Quote Char"/>
    <w:basedOn w:val="908"/>
    <w:link w:val="88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07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08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08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08"/>
    <w:link w:val="913"/>
    <w:uiPriority w:val="99"/>
    <w:pPr>
      <w:pBdr/>
      <w:spacing/>
      <w:ind/>
    </w:pPr>
  </w:style>
  <w:style w:type="character" w:styleId="891">
    <w:name w:val="Footer Char"/>
    <w:basedOn w:val="908"/>
    <w:link w:val="915"/>
    <w:uiPriority w:val="99"/>
    <w:pPr>
      <w:pBdr/>
      <w:spacing/>
      <w:ind/>
    </w:pPr>
  </w:style>
  <w:style w:type="paragraph" w:styleId="892">
    <w:name w:val="Caption"/>
    <w:basedOn w:val="907"/>
    <w:next w:val="90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93">
    <w:name w:val="Footnote Text Char"/>
    <w:basedOn w:val="908"/>
    <w:link w:val="932"/>
    <w:uiPriority w:val="99"/>
    <w:semiHidden/>
    <w:pPr>
      <w:pBdr/>
      <w:spacing/>
      <w:ind/>
    </w:pPr>
    <w:rPr>
      <w:sz w:val="20"/>
      <w:szCs w:val="20"/>
    </w:rPr>
  </w:style>
  <w:style w:type="character" w:styleId="894">
    <w:name w:val="Endnote Text Char"/>
    <w:basedOn w:val="908"/>
    <w:link w:val="935"/>
    <w:uiPriority w:val="99"/>
    <w:semiHidden/>
    <w:pPr>
      <w:pBdr/>
      <w:spacing/>
      <w:ind/>
    </w:pPr>
    <w:rPr>
      <w:sz w:val="20"/>
      <w:szCs w:val="20"/>
    </w:rPr>
  </w:style>
  <w:style w:type="character" w:styleId="895">
    <w:name w:val="FollowedHyperlink"/>
    <w:basedOn w:val="9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96">
    <w:name w:val="toc 1"/>
    <w:basedOn w:val="907"/>
    <w:next w:val="907"/>
    <w:uiPriority w:val="39"/>
    <w:unhideWhenUsed/>
    <w:pPr>
      <w:pBdr/>
      <w:spacing w:after="100"/>
      <w:ind/>
    </w:pPr>
  </w:style>
  <w:style w:type="paragraph" w:styleId="897">
    <w:name w:val="toc 2"/>
    <w:basedOn w:val="907"/>
    <w:next w:val="907"/>
    <w:uiPriority w:val="39"/>
    <w:unhideWhenUsed/>
    <w:pPr>
      <w:pBdr/>
      <w:spacing w:after="100"/>
      <w:ind w:left="220"/>
    </w:pPr>
  </w:style>
  <w:style w:type="paragraph" w:styleId="898">
    <w:name w:val="toc 3"/>
    <w:basedOn w:val="907"/>
    <w:next w:val="907"/>
    <w:uiPriority w:val="39"/>
    <w:unhideWhenUsed/>
    <w:pPr>
      <w:pBdr/>
      <w:spacing w:after="100"/>
      <w:ind w:left="440"/>
    </w:pPr>
  </w:style>
  <w:style w:type="paragraph" w:styleId="899">
    <w:name w:val="toc 4"/>
    <w:basedOn w:val="907"/>
    <w:next w:val="907"/>
    <w:uiPriority w:val="39"/>
    <w:unhideWhenUsed/>
    <w:pPr>
      <w:pBdr/>
      <w:spacing w:after="100"/>
      <w:ind w:left="660"/>
    </w:pPr>
  </w:style>
  <w:style w:type="paragraph" w:styleId="900">
    <w:name w:val="toc 5"/>
    <w:basedOn w:val="907"/>
    <w:next w:val="907"/>
    <w:uiPriority w:val="39"/>
    <w:unhideWhenUsed/>
    <w:pPr>
      <w:pBdr/>
      <w:spacing w:after="100"/>
      <w:ind w:left="880"/>
    </w:pPr>
  </w:style>
  <w:style w:type="paragraph" w:styleId="901">
    <w:name w:val="toc 6"/>
    <w:basedOn w:val="907"/>
    <w:next w:val="907"/>
    <w:uiPriority w:val="39"/>
    <w:unhideWhenUsed/>
    <w:pPr>
      <w:pBdr/>
      <w:spacing w:after="100"/>
      <w:ind w:left="1100"/>
    </w:pPr>
  </w:style>
  <w:style w:type="paragraph" w:styleId="902">
    <w:name w:val="toc 7"/>
    <w:basedOn w:val="907"/>
    <w:next w:val="907"/>
    <w:uiPriority w:val="39"/>
    <w:unhideWhenUsed/>
    <w:pPr>
      <w:pBdr/>
      <w:spacing w:after="100"/>
      <w:ind w:left="1320"/>
    </w:pPr>
  </w:style>
  <w:style w:type="paragraph" w:styleId="903">
    <w:name w:val="toc 8"/>
    <w:basedOn w:val="907"/>
    <w:next w:val="907"/>
    <w:uiPriority w:val="39"/>
    <w:unhideWhenUsed/>
    <w:pPr>
      <w:pBdr/>
      <w:spacing w:after="100"/>
      <w:ind w:left="1540"/>
    </w:pPr>
  </w:style>
  <w:style w:type="paragraph" w:styleId="904">
    <w:name w:val="toc 9"/>
    <w:basedOn w:val="907"/>
    <w:next w:val="907"/>
    <w:uiPriority w:val="39"/>
    <w:unhideWhenUsed/>
    <w:pPr>
      <w:pBdr/>
      <w:spacing w:after="100"/>
      <w:ind w:left="1760"/>
    </w:pPr>
  </w:style>
  <w:style w:type="paragraph" w:styleId="905">
    <w:name w:val="TOC Heading"/>
    <w:uiPriority w:val="39"/>
    <w:unhideWhenUsed/>
    <w:pPr>
      <w:pBdr/>
      <w:spacing/>
      <w:ind/>
    </w:pPr>
  </w:style>
  <w:style w:type="paragraph" w:styleId="906">
    <w:name w:val="table of figures"/>
    <w:basedOn w:val="907"/>
    <w:next w:val="907"/>
    <w:uiPriority w:val="99"/>
    <w:unhideWhenUsed/>
    <w:pPr>
      <w:pBdr/>
      <w:spacing w:after="0" w:afterAutospacing="0"/>
      <w:ind/>
    </w:pPr>
  </w:style>
  <w:style w:type="paragraph" w:styleId="907" w:default="1">
    <w:name w:val="Normal"/>
    <w:qFormat/>
    <w:pPr>
      <w:pBdr/>
      <w:spacing/>
      <w:ind/>
    </w:pPr>
    <w:rPr>
      <w:rFonts w:cs="Times New Roman"/>
    </w:rPr>
  </w:style>
  <w:style w:type="character" w:styleId="908" w:default="1">
    <w:name w:val="Default Paragraph Font"/>
    <w:uiPriority w:val="1"/>
    <w:semiHidden/>
    <w:unhideWhenUsed/>
    <w:pPr>
      <w:pBdr/>
      <w:spacing/>
      <w:ind/>
    </w:pPr>
  </w:style>
  <w:style w:type="table" w:styleId="90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0" w:default="1">
    <w:name w:val="No List"/>
    <w:uiPriority w:val="99"/>
    <w:semiHidden/>
    <w:unhideWhenUsed/>
    <w:pPr>
      <w:pBdr/>
      <w:spacing/>
      <w:ind/>
    </w:pPr>
  </w:style>
  <w:style w:type="character" w:styleId="911">
    <w:name w:val="Hyperlink"/>
    <w:basedOn w:val="908"/>
    <w:uiPriority w:val="99"/>
    <w:unhideWhenUsed/>
    <w:pPr>
      <w:pBdr/>
      <w:spacing/>
      <w:ind/>
    </w:pPr>
    <w:rPr>
      <w:rFonts w:cs="Times New Roman"/>
      <w:color w:val="0563c1" w:themeColor="hyperlink"/>
      <w:u w:val="single"/>
    </w:rPr>
  </w:style>
  <w:style w:type="paragraph" w:styleId="912" w:customStyle="1">
    <w:name w:val="s_1"/>
    <w:basedOn w:val="907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  <w:lang w:eastAsia="ru-RU"/>
    </w:rPr>
  </w:style>
  <w:style w:type="paragraph" w:styleId="913">
    <w:name w:val="Header"/>
    <w:basedOn w:val="907"/>
    <w:link w:val="914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4" w:customStyle="1">
    <w:name w:val="Верхний колонтитул Знак"/>
    <w:basedOn w:val="908"/>
    <w:link w:val="913"/>
    <w:uiPriority w:val="99"/>
    <w:pPr>
      <w:pBdr/>
      <w:spacing/>
      <w:ind/>
    </w:pPr>
    <w:rPr>
      <w:rFonts w:cs="Times New Roman"/>
    </w:rPr>
  </w:style>
  <w:style w:type="paragraph" w:styleId="915">
    <w:name w:val="Footer"/>
    <w:basedOn w:val="907"/>
    <w:link w:val="91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16" w:customStyle="1">
    <w:name w:val="Нижний колонтитул Знак"/>
    <w:basedOn w:val="908"/>
    <w:link w:val="915"/>
    <w:uiPriority w:val="99"/>
    <w:pPr>
      <w:pBdr/>
      <w:spacing/>
      <w:ind/>
    </w:pPr>
    <w:rPr>
      <w:rFonts w:cs="Times New Roman"/>
    </w:rPr>
  </w:style>
  <w:style w:type="table" w:styleId="917">
    <w:name w:val="Table Grid"/>
    <w:basedOn w:val="909"/>
    <w:uiPriority w:val="59"/>
    <w:pPr>
      <w:pBdr/>
      <w:spacing w:after="0" w:line="240" w:lineRule="auto"/>
      <w:ind/>
    </w:pPr>
    <w:rPr>
      <w:rFonts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8">
    <w:name w:val="annotation reference"/>
    <w:basedOn w:val="908"/>
    <w:uiPriority w:val="99"/>
    <w:semiHidden/>
    <w:unhideWhenUsed/>
    <w:pPr>
      <w:pBdr/>
      <w:spacing/>
      <w:ind/>
    </w:pPr>
    <w:rPr>
      <w:rFonts w:cs="Times New Roman"/>
      <w:sz w:val="16"/>
      <w:szCs w:val="16"/>
    </w:rPr>
  </w:style>
  <w:style w:type="paragraph" w:styleId="919">
    <w:name w:val="annotation text"/>
    <w:basedOn w:val="907"/>
    <w:link w:val="920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20" w:customStyle="1">
    <w:name w:val="Текст примечания Знак"/>
    <w:basedOn w:val="908"/>
    <w:link w:val="919"/>
    <w:uiPriority w:val="99"/>
    <w:semiHidden/>
    <w:pPr>
      <w:pBdr/>
      <w:spacing/>
      <w:ind/>
    </w:pPr>
    <w:rPr>
      <w:rFonts w:cs="Times New Roman"/>
      <w:sz w:val="20"/>
      <w:szCs w:val="20"/>
    </w:rPr>
  </w:style>
  <w:style w:type="paragraph" w:styleId="921">
    <w:name w:val="annotation subject"/>
    <w:basedOn w:val="919"/>
    <w:next w:val="919"/>
    <w:link w:val="922"/>
    <w:uiPriority w:val="99"/>
    <w:semiHidden/>
    <w:unhideWhenUsed/>
    <w:pPr>
      <w:pBdr/>
      <w:spacing/>
      <w:ind/>
    </w:pPr>
    <w:rPr>
      <w:b/>
      <w:bCs/>
    </w:rPr>
  </w:style>
  <w:style w:type="character" w:styleId="922" w:customStyle="1">
    <w:name w:val="Тема примечания Знак"/>
    <w:basedOn w:val="920"/>
    <w:link w:val="921"/>
    <w:uiPriority w:val="99"/>
    <w:semiHidden/>
    <w:pPr>
      <w:pBdr/>
      <w:spacing/>
      <w:ind/>
    </w:pPr>
    <w:rPr>
      <w:rFonts w:cs="Times New Roman"/>
      <w:b/>
      <w:bCs/>
      <w:sz w:val="20"/>
      <w:szCs w:val="20"/>
    </w:rPr>
  </w:style>
  <w:style w:type="paragraph" w:styleId="923">
    <w:name w:val="Balloon Text"/>
    <w:basedOn w:val="907"/>
    <w:link w:val="92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4" w:customStyle="1">
    <w:name w:val="Текст выноски Знак"/>
    <w:basedOn w:val="908"/>
    <w:link w:val="92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5">
    <w:name w:val="List Paragraph"/>
    <w:basedOn w:val="907"/>
    <w:uiPriority w:val="34"/>
    <w:qFormat/>
    <w:pPr>
      <w:pBdr/>
      <w:spacing/>
      <w:ind w:left="720"/>
      <w:contextualSpacing w:val="true"/>
    </w:pPr>
  </w:style>
  <w:style w:type="paragraph" w:styleId="926" w:customStyle="1">
    <w:name w:val="s_16"/>
    <w:basedOn w:val="907"/>
    <w:pPr>
      <w:pBdr/>
      <w:spacing w:after="100" w:afterAutospacing="1" w:before="100" w:beforeAutospacing="1" w:line="240" w:lineRule="auto"/>
      <w:ind/>
    </w:pPr>
    <w:rPr>
      <w:rFonts w:ascii="Times New Roman" w:hAnsi="Times New Roman"/>
      <w:sz w:val="24"/>
      <w:szCs w:val="24"/>
      <w:lang w:eastAsia="ru-RU"/>
    </w:rPr>
  </w:style>
  <w:style w:type="paragraph" w:styleId="927" w:customStyle="1">
    <w:name w:val="ConsPlusNormal"/>
    <w:pPr>
      <w:pBdr/>
      <w:spacing w:after="0" w:line="240" w:lineRule="auto"/>
      <w:ind/>
    </w:pPr>
    <w:rPr>
      <w:rFonts w:ascii="Times New Roman" w:hAnsi="Times New Roman" w:cs="Times New Roman"/>
      <w:sz w:val="28"/>
      <w:szCs w:val="28"/>
      <w:lang w:eastAsia="ru-RU"/>
    </w:rPr>
  </w:style>
  <w:style w:type="paragraph" w:styleId="928" w:customStyle="1">
    <w:name w:val="ConsPlusCell"/>
    <w:uiPriority w:val="99"/>
    <w:pPr>
      <w:widowControl w:val="false"/>
      <w:pBdr/>
      <w:spacing w:after="0" w:line="240" w:lineRule="auto"/>
      <w:ind/>
    </w:pPr>
    <w:rPr>
      <w:rFonts w:ascii="Arial" w:hAnsi="Arial" w:cs="Arial" w:eastAsiaTheme="minorEastAsia"/>
      <w:sz w:val="20"/>
      <w:szCs w:val="20"/>
      <w:lang w:eastAsia="ru-RU"/>
    </w:rPr>
  </w:style>
  <w:style w:type="paragraph" w:styleId="929" w:customStyle="1">
    <w:name w:val="Обычный с абзацем"/>
    <w:basedOn w:val="925"/>
    <w:link w:val="930"/>
    <w:qFormat/>
    <w:pPr>
      <w:pBdr/>
      <w:tabs>
        <w:tab w:val="left" w:leader="none" w:pos="1134"/>
      </w:tabs>
      <w:spacing w:after="0" w:line="360" w:lineRule="auto"/>
      <w:ind w:hanging="990" w:left="1530"/>
      <w:jc w:val="both"/>
      <w:outlineLvl w:val="1"/>
    </w:pPr>
    <w:rPr>
      <w:rFonts w:ascii="Times New Roman" w:hAnsi="Times New Roman"/>
      <w:sz w:val="24"/>
      <w:szCs w:val="24"/>
    </w:rPr>
  </w:style>
  <w:style w:type="character" w:styleId="930" w:customStyle="1">
    <w:name w:val="Обычный с абзацем Знак"/>
    <w:basedOn w:val="908"/>
    <w:link w:val="929"/>
    <w:pPr>
      <w:pBdr/>
      <w:spacing/>
      <w:ind/>
    </w:pPr>
    <w:rPr>
      <w:rFonts w:ascii="Times New Roman" w:hAnsi="Times New Roman" w:cs="Times New Roman"/>
      <w:sz w:val="24"/>
      <w:szCs w:val="24"/>
    </w:rPr>
  </w:style>
  <w:style w:type="paragraph" w:styleId="931" w:customStyle="1">
    <w:name w:val="ConsPlusTitle"/>
    <w:uiPriority w:val="99"/>
    <w:pPr>
      <w:widowControl w:val="false"/>
      <w:pBdr/>
      <w:spacing w:after="0" w:line="240" w:lineRule="auto"/>
      <w:ind/>
    </w:pPr>
    <w:rPr>
      <w:rFonts w:ascii="Calibri" w:hAnsi="Calibri" w:cs="Calibri"/>
      <w:b/>
      <w:szCs w:val="20"/>
      <w:lang w:eastAsia="ru-RU"/>
    </w:rPr>
  </w:style>
  <w:style w:type="paragraph" w:styleId="932">
    <w:name w:val="footnote text"/>
    <w:basedOn w:val="907"/>
    <w:link w:val="933"/>
    <w:uiPriority w:val="99"/>
    <w:unhideWhenUsed/>
    <w:pPr>
      <w:pBdr/>
      <w:spacing w:after="0" w:line="240" w:lineRule="auto"/>
      <w:ind/>
      <w:jc w:val="both"/>
    </w:pPr>
    <w:rPr>
      <w:rFonts w:ascii="Times New Roman" w:hAnsi="Times New Roman"/>
      <w:sz w:val="20"/>
      <w:szCs w:val="20"/>
    </w:rPr>
  </w:style>
  <w:style w:type="character" w:styleId="933" w:customStyle="1">
    <w:name w:val="Текст сноски Знак"/>
    <w:basedOn w:val="908"/>
    <w:link w:val="932"/>
    <w:uiPriority w:val="99"/>
    <w:pPr>
      <w:pBdr/>
      <w:spacing/>
      <w:ind/>
    </w:pPr>
    <w:rPr>
      <w:rFonts w:ascii="Times New Roman" w:hAnsi="Times New Roman" w:cs="Times New Roman"/>
      <w:sz w:val="20"/>
      <w:szCs w:val="20"/>
    </w:rPr>
  </w:style>
  <w:style w:type="character" w:styleId="934">
    <w:name w:val="footnote reference"/>
    <w:basedOn w:val="908"/>
    <w:uiPriority w:val="99"/>
    <w:unhideWhenUsed/>
    <w:pPr>
      <w:pBdr/>
      <w:spacing/>
      <w:ind/>
    </w:pPr>
    <w:rPr>
      <w:rFonts w:cs="Times New Roman"/>
      <w:vertAlign w:val="superscript"/>
    </w:rPr>
  </w:style>
  <w:style w:type="paragraph" w:styleId="935">
    <w:name w:val="endnote text"/>
    <w:basedOn w:val="907"/>
    <w:link w:val="936"/>
    <w:uiPriority w:val="99"/>
    <w:pPr>
      <w:pBdr/>
      <w:spacing w:after="0" w:line="240" w:lineRule="auto"/>
      <w:ind/>
    </w:pPr>
    <w:rPr>
      <w:sz w:val="20"/>
      <w:szCs w:val="20"/>
    </w:rPr>
  </w:style>
  <w:style w:type="character" w:styleId="936" w:customStyle="1">
    <w:name w:val="Текст концевой сноски Знак"/>
    <w:basedOn w:val="908"/>
    <w:link w:val="935"/>
    <w:uiPriority w:val="99"/>
    <w:pPr>
      <w:pBdr/>
      <w:spacing/>
      <w:ind/>
    </w:pPr>
    <w:rPr>
      <w:rFonts w:cs="Times New Roman"/>
      <w:sz w:val="20"/>
      <w:szCs w:val="20"/>
    </w:rPr>
  </w:style>
  <w:style w:type="character" w:styleId="937">
    <w:name w:val="endnote reference"/>
    <w:basedOn w:val="908"/>
    <w:uiPriority w:val="99"/>
    <w:pPr>
      <w:pBdr/>
      <w:spacing/>
      <w:ind/>
    </w:pPr>
    <w:rPr>
      <w:rFonts w:cs="Times New Roman"/>
      <w:vertAlign w:val="superscript"/>
    </w:rPr>
  </w:style>
  <w:style w:type="character" w:styleId="938">
    <w:name w:val="Placeholder Text"/>
    <w:basedOn w:val="908"/>
    <w:uiPriority w:val="99"/>
    <w:semiHidden/>
    <w:pPr>
      <w:pBdr/>
      <w:spacing/>
      <w:ind/>
    </w:pPr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114A3-4EA5-48A5-A92C-910826242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19</cp:revision>
  <dcterms:created xsi:type="dcterms:W3CDTF">2024-05-28T13:54:00Z</dcterms:created>
  <dcterms:modified xsi:type="dcterms:W3CDTF">2025-08-11T10:32:37Z</dcterms:modified>
</cp:coreProperties>
</file>