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 2025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№ 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-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4677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Об утверждении размеров выплат по</w:t>
      </w:r>
      <w:r>
        <w:rPr>
          <w:rFonts w:ascii="Times New Roman" w:hAnsi="Times New Roman" w:cs="Times New Roman"/>
          <w:sz w:val="28"/>
          <w:szCs w:val="28"/>
        </w:rPr>
        <w:t xml:space="preserve"> видам социальной поддержки детей-сирот и детей, оставшихся</w:t>
      </w:r>
      <w:r>
        <w:rPr>
          <w:rFonts w:ascii="Times New Roman" w:hAnsi="Times New Roman" w:cs="Times New Roman"/>
          <w:sz w:val="28"/>
          <w:szCs w:val="28"/>
        </w:rPr>
        <w:t xml:space="preserve">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родителя, детей-инвалидов, инвалидов, обучающихся по основным образовательным программам, </w:t>
      </w:r>
      <w:bookmarkStart w:id="0" w:name="_Hlk172726263"/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bookmarkEnd w:id="0"/>
      <w:r/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851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numPr>
          <w:ilvl w:val="0"/>
          <w:numId w:val="1"/>
        </w:numPr>
        <w:pBdr/>
        <w:tabs>
          <w:tab w:val="left" w:leader="none" w:pos="851"/>
        </w:tabs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pBdr/>
        <w:tabs>
          <w:tab w:val="left" w:leader="none" w:pos="1276"/>
        </w:tabs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выплат по видам социальной поддержки детей-сирот и детей, оставшихся без попечения родителей, лиц из числа детей-сирот</w:t>
      </w:r>
      <w:r>
        <w:rPr>
          <w:rFonts w:ascii="Times New Roman" w:hAnsi="Times New Roman" w:cs="Times New Roman"/>
          <w:sz w:val="28"/>
          <w:szCs w:val="28"/>
        </w:rPr>
        <w:t xml:space="preserve"> и детей, оставшихся без попечения родителей,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лиц, потерявших в период обучения обоих родителей или единственного родителя, детей-инвалидов, </w:t>
      </w:r>
      <w:r>
        <w:rPr>
          <w:rFonts w:ascii="Times New Roman" w:hAnsi="Times New Roman" w:cs="Times New Roman"/>
          <w:sz w:val="28"/>
          <w:szCs w:val="28"/>
        </w:rPr>
        <w:t xml:space="preserve">инвалидов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основным образовательным программам в государственных профессиональных образовательных о</w:t>
      </w:r>
      <w:r>
        <w:rPr>
          <w:rFonts w:ascii="Times New Roman" w:hAnsi="Times New Roman" w:cs="Times New Roman"/>
          <w:sz w:val="28"/>
          <w:szCs w:val="28"/>
        </w:rPr>
        <w:t xml:space="preserve">рганизациях и государственных образовательных организациях высшего образования,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/>
      <w:hyperlink r:id="rId14" w:tooltip="consultantplus://offline/ref=E300772A247DC21FC1A2DA0DB7A222112E7327B7F51EC5B1056CB1391C5177E69AE2C44F290FDBE6257B85E4C6BF5DABED9063F8817E15470B01878AL9z9L" w:history="1">
        <w:r>
          <w:rPr>
            <w:rFonts w:ascii="Times New Roman" w:hAnsi="Times New Roman" w:cs="Times New Roman"/>
            <w:sz w:val="28"/>
            <w:szCs w:val="28"/>
          </w:rPr>
          <w:t xml:space="preserve">размеры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выплат по видам социальной поддержки лиц из числа детей-сирот и детей, оставшихся без попечения родителей, и лиц, потерявших в период обучения обоих родителей или единственног</w:t>
      </w:r>
      <w:r>
        <w:rPr>
          <w:rFonts w:ascii="Times New Roman" w:hAnsi="Times New Roman" w:cs="Times New Roman"/>
          <w:sz w:val="28"/>
          <w:szCs w:val="28"/>
        </w:rPr>
        <w:t xml:space="preserve">о родителя, обучающихся по образовательным программам основного общего, среднего общего образования,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годов;</w:t>
      </w:r>
      <w:r>
        <w:rPr>
          <w:rFonts w:ascii="Times New Roman" w:hAnsi="Times New Roman"/>
          <w:sz w:val="28"/>
          <w:szCs w:val="28"/>
        </w:rPr>
      </w:r>
    </w:p>
    <w:p>
      <w:pPr>
        <w:pStyle w:val="977"/>
        <w:pBdr/>
        <w:spacing w:after="0" w:afterAutospacing="0" w:before="0" w:before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/>
      <w:hyperlink r:id="rId15" w:tooltip="https://login.consultant.ru/link/?req=doc&amp;base=RLAW363&amp;n=182590&amp;dst=100227&amp;field=134&amp;date=12.08.2024" w:history="1">
        <w:r>
          <w:rPr>
            <w:rFonts w:eastAsiaTheme="minorHAnsi"/>
            <w:sz w:val="28"/>
            <w:szCs w:val="28"/>
            <w:lang w:eastAsia="en-US"/>
          </w:rPr>
          <w:t xml:space="preserve">размеры</w:t>
        </w:r>
      </w:hyperlink>
      <w:r>
        <w:rPr>
          <w:rFonts w:eastAsiaTheme="minorHAnsi"/>
          <w:sz w:val="28"/>
          <w:szCs w:val="28"/>
          <w:lang w:eastAsia="en-US"/>
        </w:rPr>
        <w:t xml:space="preserve"> выплат по видам социальной поддержки детей-сирот и детей, оставшихся без попечения родителей, лиц из числа детей-сирот и детей, </w:t>
      </w:r>
      <w:r>
        <w:rPr>
          <w:rFonts w:eastAsiaTheme="minorHAnsi"/>
          <w:sz w:val="28"/>
          <w:szCs w:val="28"/>
          <w:lang w:eastAsia="en-US"/>
        </w:rPr>
        <w:t xml:space="preserve">оставшихся без попечения родителей, с ограниченными возможностями здоровья (в том числе с различными формами умственной отсталости), обучающихся по программам переподготовки рабочих и служащих по очной форме обучения,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2026 год и на плановый период 2027 </w:t>
      </w:r>
      <w:r>
        <w:rPr>
          <w:sz w:val="28"/>
          <w:szCs w:val="28"/>
        </w:rPr>
        <w:t xml:space="preserve">и 2028</w:t>
      </w:r>
      <w:r>
        <w:rPr>
          <w:sz w:val="28"/>
          <w:szCs w:val="28"/>
        </w:rPr>
        <w:t xml:space="preserve"> годов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977"/>
        <w:numPr>
          <w:ilvl w:val="0"/>
          <w:numId w:val="1"/>
        </w:numPr>
        <w:pBdr/>
        <w:spacing w:after="0" w:afterAutospacing="0" w:before="0" w:beforeAutospacing="0" w:line="288" w:lineRule="atLeast"/>
        <w:ind w:firstLine="851"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Определить, что размеры выплат по видам социальной поддержки, утвержденные настоящим постановлением, распространяются на обучающихся, получающих образование по образовательным программам основного общего, среднего общего образования, программ</w:t>
      </w:r>
      <w:r>
        <w:rPr>
          <w:rFonts w:eastAsiaTheme="minorHAnsi"/>
          <w:sz w:val="28"/>
          <w:szCs w:val="28"/>
          <w:lang w:eastAsia="en-US"/>
        </w:rPr>
        <w:t xml:space="preserve">ам профессиональной подготовки по профессиям рабочих, должностям служащих, программам подготовки квалифицированных рабочих, служащих, программам переподготовки рабочих и служащих, программам подготовки специалистов среднего звена, программам </w:t>
      </w:r>
      <w:r>
        <w:rPr>
          <w:rFonts w:eastAsiaTheme="minorHAnsi"/>
          <w:sz w:val="28"/>
          <w:szCs w:val="28"/>
          <w:lang w:eastAsia="en-US"/>
        </w:rPr>
        <w:t xml:space="preserve">бакалавриата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программам </w:t>
      </w:r>
      <w:r>
        <w:rPr>
          <w:rFonts w:eastAsiaTheme="minorHAnsi"/>
          <w:sz w:val="28"/>
          <w:szCs w:val="28"/>
          <w:lang w:eastAsia="en-US"/>
        </w:rPr>
        <w:t xml:space="preserve">специалитета</w:t>
      </w:r>
      <w:r>
        <w:rPr>
          <w:rFonts w:eastAsiaTheme="minorHAnsi"/>
          <w:sz w:val="28"/>
          <w:szCs w:val="28"/>
          <w:lang w:eastAsia="en-US"/>
        </w:rPr>
        <w:t xml:space="preserve">, программам магистратуры за счет средств бюджета Республики Татарстан в образовательных организациях всех форм собственности и ведомственной принадлежности.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977"/>
        <w:numPr>
          <w:ilvl w:val="0"/>
          <w:numId w:val="1"/>
        </w:numPr>
        <w:pBdr/>
        <w:spacing w:after="0" w:afterAutospacing="0" w:before="0" w:beforeAutospacing="0" w:line="288" w:lineRule="atLeast"/>
        <w:ind w:firstLine="851"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Признать утратившим силу постановление Кабинета Министров Республики Татар</w:t>
      </w:r>
      <w:r>
        <w:rPr>
          <w:rFonts w:eastAsiaTheme="minorHAnsi"/>
          <w:sz w:val="28"/>
          <w:szCs w:val="28"/>
          <w:lang w:eastAsia="en-US"/>
        </w:rPr>
        <w:t xml:space="preserve">стан </w:t>
      </w:r>
      <w:r>
        <w:rPr>
          <w:sz w:val="28"/>
          <w:szCs w:val="28"/>
        </w:rPr>
        <w:t xml:space="preserve">от 15.09.2023 № 1143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sz w:val="28"/>
          <w:szCs w:val="28"/>
        </w:rPr>
        <w:t xml:space="preserve">Об утверждении размеров выплат по видам социальной поддержки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</w:t>
      </w:r>
      <w:r>
        <w:rPr>
          <w:rFonts w:eastAsiaTheme="minorHAnsi"/>
          <w:sz w:val="28"/>
          <w:szCs w:val="28"/>
        </w:rPr>
        <w:t xml:space="preserve"> родителей или единственного родителя, детей-инвалидов, инвалидов, обучающихся по основным образовательным программам, на 2025 год и на плановый период 2026 и 2027 годов</w:t>
      </w:r>
      <w:r>
        <w:rPr>
          <w:rFonts w:eastAsiaTheme="minorHAnsi"/>
          <w:sz w:val="28"/>
          <w:szCs w:val="28"/>
          <w:lang w:eastAsia="en-US"/>
        </w:rPr>
        <w:t xml:space="preserve">».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975"/>
        <w:numPr>
          <w:ilvl w:val="0"/>
          <w:numId w:val="1"/>
        </w:numPr>
        <w:pBdr/>
        <w:spacing/>
        <w:ind w:firstLine="851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 1 января 2026 года.</w:t>
      </w:r>
      <w:r>
        <w:rPr>
          <w:sz w:val="28"/>
          <w:szCs w:val="28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А.В.Песошин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1133" w:bottom="1134" w:left="1701" w:header="708" w:footer="708" w:gutter="0"/>
          <w:cols w:num="1" w:sep="0" w:space="708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67"/>
        <w:pBdr/>
        <w:spacing w:after="0" w:line="240" w:lineRule="auto"/>
        <w:ind w:firstLine="851" w:left="0"/>
        <w:jc w:val="right"/>
        <w:rPr>
          <w:rFonts w:ascii="Times New Roman" w:hAnsi="Times New Roman" w:cs="Times New Roman"/>
          <w:sz w:val="28"/>
          <w:szCs w:val="28"/>
        </w:rPr>
      </w:pPr>
      <w:r/>
      <w:bookmarkStart w:id="1" w:name="_Hlk143008800"/>
      <w:r/>
      <w:bookmarkStart w:id="2" w:name="_Hlk143004459"/>
      <w:r>
        <w:rPr>
          <w:rFonts w:ascii="Times New Roman" w:hAnsi="Times New Roman" w:cs="Times New Roman"/>
          <w:sz w:val="28"/>
          <w:szCs w:val="28"/>
        </w:rPr>
        <w:t xml:space="preserve">УТВЕРЖДЕНЫ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pBdr/>
        <w:spacing w:after="0" w:line="240" w:lineRule="auto"/>
        <w:ind w:firstLine="851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pBdr/>
        <w:spacing w:after="0" w:line="240" w:lineRule="auto"/>
        <w:ind w:firstLine="851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pBdr/>
        <w:spacing w:after="0" w:line="240" w:lineRule="auto"/>
        <w:ind w:firstLine="851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pBdr/>
        <w:spacing w:after="0" w:line="240" w:lineRule="auto"/>
        <w:ind w:firstLine="851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«__» _____ 2025 № ___</w:t>
      </w:r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pBdr/>
        <w:spacing w:after="0" w:line="240" w:lineRule="auto"/>
        <w:ind w:firstLine="851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pBdr/>
        <w:spacing w:after="0" w:line="240" w:lineRule="auto"/>
        <w:ind w:firstLine="851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выплат по видам социальной поддержки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pBdr/>
        <w:spacing w:after="0" w:line="240" w:lineRule="auto"/>
        <w:ind w:firstLine="851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родителя, дете</w:t>
      </w:r>
      <w:r>
        <w:rPr>
          <w:rFonts w:ascii="Times New Roman" w:hAnsi="Times New Roman" w:cs="Times New Roman"/>
          <w:sz w:val="28"/>
          <w:szCs w:val="28"/>
        </w:rPr>
        <w:t xml:space="preserve">й-инвалидов, инвалидов, обучающихся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основным образовательным программам в государственных профессиональных образовательных организациях и государственных образовательных организациях высшего образования,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</w:r>
    </w:p>
    <w:p>
      <w:pPr>
        <w:pStyle w:val="967"/>
        <w:pBdr/>
        <w:spacing w:after="0" w:line="240" w:lineRule="auto"/>
        <w:ind w:firstLine="851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737" w:type="dxa"/>
        <w:tblCellMar>
          <w:left w:w="62" w:type="dxa"/>
          <w:top w:w="102" w:type="dxa"/>
          <w:right w:w="62" w:type="dxa"/>
          <w:bottom w:w="102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850"/>
        <w:gridCol w:w="4955"/>
        <w:gridCol w:w="4823"/>
        <w:gridCol w:w="1558"/>
        <w:gridCol w:w="1276"/>
        <w:gridCol w:w="1275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№ </w:t>
            </w:r>
            <w:r/>
          </w:p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Наименование выплаты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3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left="877"/>
              <w:rPr/>
            </w:pPr>
            <w:r>
              <w:t xml:space="preserve">Образовательная программа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Размер выплаты, рублей</w:t>
            </w:r>
            <w:r/>
          </w:p>
        </w:tc>
      </w:tr>
      <w:tr>
        <w:trPr>
          <w:trHeight w:val="5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2026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2027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2028 год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5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3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5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>
              <w:t xml:space="preserve">Единовременное денежное пособие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обучавшимся </w:t>
            </w:r>
            <w:r>
              <w:t xml:space="preserve">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при выпуске из организаций, осуществляющих образовательную деятельность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профессион</w:t>
            </w:r>
            <w:r>
              <w:t xml:space="preserve">альная подготовка по профессиям рабочих, должностям служащих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1 012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1 053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rPr>
                <w:lang w:val="en-US"/>
              </w:rPr>
              <w:t xml:space="preserve">1 096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 квалифицированных рабочих, служащих на базе основного общего образования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1 012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1 053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1 096</w:t>
            </w:r>
            <w:r>
              <w:rPr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</w:t>
            </w:r>
            <w:r>
              <w:t xml:space="preserve"> квалифицированных рабочих, служащих на базе среднего общего образования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1 012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1 053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1 096</w:t>
            </w:r>
            <w:r>
              <w:rPr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 специалистов среднего звена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1 012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1 053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1 096</w:t>
            </w:r>
            <w:r>
              <w:rPr>
                <w:lang w:val="en-US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бакалавриат</w:t>
            </w:r>
            <w:r>
              <w:t xml:space="preserve">, </w:t>
            </w:r>
            <w:r>
              <w:t xml:space="preserve">специалитет</w:t>
            </w:r>
            <w:r>
              <w:t xml:space="preserve">, магистратура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1 012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1 053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1 096</w:t>
            </w:r>
            <w:r>
              <w:rPr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5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>
              <w:t xml:space="preserve">Единовременное пособие на приобретение комплекта одежды, обуви, мягкого инвентаря и оборудования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</w:t>
            </w:r>
            <w:r>
              <w:t xml:space="preserve">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при выпуске из ор</w:t>
            </w:r>
            <w:r>
              <w:t xml:space="preserve">ганизаций, осуществляющих образовательную деятельность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профессиональная подготовка по профессиям рабочих, должностям служащих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59 337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59 337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59 337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 квалифицированных рабочих, служащих на базе основного общего образования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59 337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59 337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59 337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 квалифицированных рабочих, служащих на базе среднего общего образования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59 337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59 337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59 337</w:t>
            </w:r>
            <w:r/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 специалистов среднего звена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59 337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59 337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59 337</w:t>
            </w:r>
            <w:r/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бакалавриат</w:t>
            </w:r>
            <w:r>
              <w:t xml:space="preserve">, </w:t>
            </w:r>
            <w:r>
              <w:t xml:space="preserve">специалитет</w:t>
            </w:r>
            <w:r>
              <w:t xml:space="preserve">, магистратура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59 337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59 337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59 337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55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>
              <w:t xml:space="preserve">Ежегодное пособие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</w:t>
            </w:r>
            <w:r>
              <w:t xml:space="preserve">родителей или единственного родителя, обучающимся по очной форме обучения по основным профессиональным образовательным программам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профессиональная подготовка по профессиям рабочих, должностям служащих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</w:t>
            </w:r>
            <w:r>
              <w:t xml:space="preserve"> квалифицированных рабочих, служащих на базе основного общего образования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3 612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3 757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3 908</w:t>
            </w:r>
            <w:r/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 квалифицированных рабочих, служащих на базе среднего общего образования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3 612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3 757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3 908</w:t>
            </w:r>
            <w:r/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 специалистов среднего звена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3 612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3 757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3 908</w:t>
            </w:r>
            <w:r/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бакалавриат</w:t>
            </w:r>
            <w:r>
              <w:t xml:space="preserve">, </w:t>
            </w:r>
            <w:r>
              <w:t xml:space="preserve">специалитет</w:t>
            </w:r>
            <w:r>
              <w:t xml:space="preserve">, магистратура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9 342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9 716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10 105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5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>
              <w:t xml:space="preserve">Ежегодное пособие на при</w:t>
            </w:r>
            <w:r>
              <w:t xml:space="preserve">обретение комплекта одежды, обуви и мягкого инвентаря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</w:t>
            </w:r>
            <w:r>
              <w:t xml:space="preserve">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профессиональная подготовка по профессиям рабочих, должностям</w:t>
            </w:r>
            <w:r>
              <w:t xml:space="preserve"> служащих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25 289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25 289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25 289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 квалифицированных рабочих, служащих на базе основного общего образования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25 289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25 289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25 289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 квалифицированных рабочих, служащих на базе среднего общего образования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25 289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25 289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25 289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 специалистов среднего звена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25 289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25 289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25 289</w:t>
            </w:r>
            <w:r/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бакалавриат</w:t>
            </w:r>
            <w:r>
              <w:t xml:space="preserve">, </w:t>
            </w:r>
            <w:r>
              <w:t xml:space="preserve">специалитет</w:t>
            </w:r>
            <w:r>
              <w:t xml:space="preserve">, магистратура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25 289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25 289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25 289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5.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55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>
              <w:t xml:space="preserve">Ежемесячная стипендия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</w:t>
            </w:r>
            <w:r>
              <w:t xml:space="preserve">идам, обучающимся по очной форме обучения по основным профессиональным образовательным программам (выплачиваемая в период до 1 сентября соответствующего года)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профессиональная подготовка по профессиям рабочих, должностям служащих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</w:t>
            </w:r>
            <w:r>
              <w:t xml:space="preserve"> квалифицированных рабочих, служащих на базе основного общего образования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1 202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1 251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1 301</w:t>
            </w:r>
            <w:r/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 квалифицированных рабочих, служащих на базе среднего общего образования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1 202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1 251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1 301</w:t>
            </w:r>
            <w:r/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 специалистов среднего звена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1 202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1 251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1 301</w:t>
            </w:r>
            <w:r/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бакалавриат</w:t>
            </w:r>
            <w:r>
              <w:t xml:space="preserve">, </w:t>
            </w:r>
            <w:r>
              <w:t xml:space="preserve">специалитет</w:t>
            </w:r>
            <w:r>
              <w:t xml:space="preserve">, магистратура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1 202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1 251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1 301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6.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55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>
              <w:t xml:space="preserve">Ежемесячная стипендия детям-сиротам, детям, оставшимся без попечения родителей, лицам из числа детей-сирот и детей, оставшихся без попечения родителей, и лиц</w:t>
            </w:r>
            <w:r>
              <w:t xml:space="preserve">ам, потерявшим в период обучения обоих родителей или единственного родителя, детям-инвалидам, инвалидам, обучающимся по очной форме обучения по основным профессиональным образовательным программам (выплачиваемая в период с 1 сентября соответствующего года)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профессиональная подготовка по профессиям рабочих, должностям служащих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 квалифицированных рабочих, служащих на базе основного общего образования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1 251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1 301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1 3</w:t>
            </w:r>
            <w:r>
              <w:rPr>
                <w:lang w:val="en-US"/>
              </w:rPr>
              <w:t xml:space="preserve">53</w:t>
            </w:r>
            <w:r/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</w:t>
            </w:r>
            <w:r>
              <w:t xml:space="preserve"> квалифицированных рабочих, служащих на базе среднего общего образования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1 251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1 301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1 3</w:t>
            </w:r>
            <w:r>
              <w:rPr>
                <w:lang w:val="en-US"/>
              </w:rPr>
              <w:t xml:space="preserve">53</w:t>
            </w:r>
            <w:r/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 специалистов среднего звена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1 251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1 301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1 3</w:t>
            </w:r>
            <w:r>
              <w:rPr>
                <w:lang w:val="en-US"/>
              </w:rPr>
              <w:t xml:space="preserve">53</w:t>
            </w:r>
            <w:r/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бакалавриат</w:t>
            </w:r>
            <w:r>
              <w:t xml:space="preserve">, </w:t>
            </w:r>
            <w:r>
              <w:t xml:space="preserve">специалитет</w:t>
            </w:r>
            <w:r>
              <w:t xml:space="preserve">, магистратура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1 251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1 301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1 3</w:t>
            </w:r>
            <w:r>
              <w:rPr>
                <w:lang w:val="en-US"/>
              </w:rPr>
              <w:t xml:space="preserve">53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7.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55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>
              <w:t xml:space="preserve">Ежемесячное пособие на питание детям-</w:t>
            </w:r>
            <w:r>
              <w:t xml:space="preserve">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</w:t>
            </w:r>
            <w:r>
              <w:t xml:space="preserve">офессиональным образовательным программам и (или) по программам профессиональной подготовки по профессиям рабочих, должностям служащих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профессиональная подготовка по профессиям рабочих, должностям служащих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9 54</w:t>
            </w: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9 92</w:t>
            </w: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10 32</w:t>
            </w: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 квалифицированных рабочих, служащих на базе основного общего образования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9 54</w:t>
            </w: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9 92</w:t>
            </w: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10 32</w:t>
            </w: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 квалифицированных рабочих, служащих на базе среднего общего образования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rPr>
                <w:lang w:val="en-US"/>
              </w:rPr>
              <w:t xml:space="preserve">10 996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rPr>
                <w:lang w:val="en-US"/>
              </w:rPr>
              <w:t xml:space="preserve">11 436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rPr>
                <w:lang w:val="en-US"/>
              </w:rPr>
              <w:t xml:space="preserve">11 894</w:t>
            </w:r>
            <w:r/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 w:firstLine="851"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 w:firstLine="851"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подготовка специалистов среднего звена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rPr>
                <w:lang w:val="en-US"/>
              </w:rPr>
              <w:t xml:space="preserve">10 996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rPr>
                <w:lang w:val="en-US"/>
              </w:rPr>
              <w:t xml:space="preserve">11 436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rPr>
                <w:lang w:val="en-US"/>
              </w:rPr>
              <w:t xml:space="preserve">11 894</w:t>
            </w:r>
            <w:r/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 w:firstLine="851"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55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 w:firstLine="851"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3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бакалавриат</w:t>
            </w:r>
            <w:r>
              <w:t xml:space="preserve">, </w:t>
            </w:r>
            <w:r>
              <w:t xml:space="preserve">специалитет</w:t>
            </w:r>
            <w:r>
              <w:t xml:space="preserve">, магистратура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rPr>
                <w:lang w:val="en-US"/>
              </w:rPr>
              <w:t xml:space="preserve">10 996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rPr>
                <w:lang w:val="en-US"/>
              </w:rPr>
              <w:t xml:space="preserve">11 436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rPr>
                <w:lang w:val="en-US"/>
              </w:rPr>
              <w:t xml:space="preserve">11 894</w:t>
            </w:r>
            <w:r/>
          </w:p>
        </w:tc>
      </w:tr>
    </w:tbl>
    <w:p>
      <w:pPr>
        <w:pStyle w:val="967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2"/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pBdr/>
        <w:spacing w:after="0" w:line="240" w:lineRule="auto"/>
        <w:ind w:firstLine="851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851"/>
        <w:rPr/>
        <w:sectPr>
          <w:headerReference w:type="default" r:id="rId10"/>
          <w:footnotePr/>
          <w:endnotePr/>
          <w:type w:val="nextPage"/>
          <w:pgSz w:h="11906" w:orient="landscape" w:w="16838"/>
          <w:pgMar w:top="534" w:right="1133" w:bottom="850" w:left="1134" w:header="708" w:footer="708" w:gutter="0"/>
          <w:pgNumType w:start="1"/>
          <w:cols w:num="1" w:sep="0" w:space="708" w:equalWidth="1"/>
          <w:titlePg/>
        </w:sectPr>
      </w:pPr>
      <w:r/>
      <w:r/>
    </w:p>
    <w:p>
      <w:pPr>
        <w:pStyle w:val="967"/>
        <w:pBdr/>
        <w:spacing w:after="0" w:line="240" w:lineRule="auto"/>
        <w:ind w:firstLine="851" w:left="0"/>
        <w:jc w:val="right"/>
        <w:rPr>
          <w:rFonts w:ascii="Times New Roman" w:hAnsi="Times New Roman" w:cs="Times New Roman"/>
          <w:sz w:val="28"/>
          <w:szCs w:val="28"/>
        </w:rPr>
      </w:pPr>
      <w:r/>
      <w:bookmarkStart w:id="3" w:name="_Hlk174356493"/>
      <w:r/>
      <w:bookmarkStart w:id="4" w:name="_Hlk174355597"/>
      <w:r>
        <w:rPr>
          <w:rFonts w:ascii="Times New Roman" w:hAnsi="Times New Roman" w:cs="Times New Roman"/>
          <w:sz w:val="28"/>
          <w:szCs w:val="28"/>
        </w:rPr>
        <w:t xml:space="preserve">УТВЕРЖДЕНЫ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pBdr/>
        <w:spacing w:after="0" w:line="240" w:lineRule="auto"/>
        <w:ind w:firstLine="851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pBdr/>
        <w:spacing w:after="0" w:line="240" w:lineRule="auto"/>
        <w:ind w:firstLine="851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pBdr/>
        <w:spacing w:after="0" w:line="240" w:lineRule="auto"/>
        <w:ind w:firstLine="851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pBdr/>
        <w:spacing w:after="0" w:line="240" w:lineRule="auto"/>
        <w:ind w:firstLine="851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«__» _____ 2025 № ___</w:t>
      </w:r>
      <w:bookmarkEnd w:id="3"/>
      <w:r/>
      <w:bookmarkEnd w:id="4"/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pBdr/>
        <w:spacing w:after="0" w:line="240" w:lineRule="auto"/>
        <w:ind w:firstLine="851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851"/>
        <w:contextualSpacing w:val="true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Размеры выплат по видам социальной поддержки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лиц из числа детей-сирот и детей, оставшихся без попечения родителей, и лиц, потерявших в период обучения обоих родителей или единственного родителя, обучающихся</w:t>
      </w:r>
      <w:r>
        <w:rPr>
          <w:rFonts w:eastAsiaTheme="minorEastAsia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по образовательным программам основного общего, с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реднего общего образования,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851"/>
        <w:contextualSpacing w:val="true"/>
        <w:jc w:val="center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976"/>
      </w:tblPr>
      <w:tblGrid>
        <w:gridCol w:w="540"/>
        <w:gridCol w:w="5822"/>
        <w:gridCol w:w="1242"/>
        <w:gridCol w:w="1242"/>
        <w:gridCol w:w="1383"/>
      </w:tblGrid>
      <w:tr>
        <w:trPr>
          <w:tblHeader/>
        </w:trPr>
        <w:tc>
          <w:tcPr>
            <w:tcBorders/>
            <w:tcW w:w="260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84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Наименование выплаты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/>
            <w:tcW w:w="1893" w:type="pct"/>
            <w:textDirection w:val="lrTb"/>
            <w:noWrap w:val="false"/>
          </w:tcPr>
          <w:p>
            <w:pPr>
              <w:pBdr/>
              <w:spacing/>
              <w:ind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Размер выплаты, рублей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blHeader/>
        </w:trPr>
        <w:tc>
          <w:tcPr>
            <w:tcBorders/>
            <w:tcW w:w="26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847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608" w:type="pct"/>
            <w:textDirection w:val="lrTb"/>
            <w:noWrap w:val="false"/>
          </w:tcPr>
          <w:p>
            <w:pPr>
              <w:pBdr/>
              <w:spacing/>
              <w:ind w:firstLine="46"/>
              <w:contextualSpacing w:val="true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год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608" w:type="pct"/>
            <w:textDirection w:val="lrTb"/>
            <w:noWrap w:val="false"/>
          </w:tcPr>
          <w:p>
            <w:pPr>
              <w:pBdr/>
              <w:spacing/>
              <w:ind w:firstLine="46"/>
              <w:contextualSpacing w:val="true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2027 год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677" w:type="pct"/>
            <w:textDirection w:val="lrTb"/>
            <w:noWrap w:val="false"/>
          </w:tcPr>
          <w:p>
            <w:pPr>
              <w:pBdr/>
              <w:spacing/>
              <w:ind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2028 год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260" w:type="pct"/>
            <w:vMerge w:val="restart"/>
            <w:textDirection w:val="lrTb"/>
            <w:noWrap w:val="false"/>
          </w:tcPr>
          <w:p>
            <w:pPr>
              <w:pBdr/>
              <w:spacing/>
              <w:ind w:firstLine="22"/>
              <w:contextualSpacing w:val="true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847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8" w:type="pct"/>
            <w:vMerge w:val="restart"/>
            <w:textDirection w:val="lrTb"/>
            <w:noWrap w:val="false"/>
          </w:tcPr>
          <w:p>
            <w:pPr>
              <w:pBdr/>
              <w:spacing/>
              <w:ind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608" w:type="pct"/>
            <w:vMerge w:val="restart"/>
            <w:textDirection w:val="lrTb"/>
            <w:noWrap w:val="false"/>
          </w:tcPr>
          <w:p>
            <w:pPr>
              <w:pBdr/>
              <w:spacing/>
              <w:ind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677" w:type="pct"/>
            <w:vMerge w:val="restart"/>
            <w:textDirection w:val="lrTb"/>
            <w:noWrap w:val="false"/>
          </w:tcPr>
          <w:p>
            <w:pPr>
              <w:pBdr/>
              <w:spacing/>
              <w:ind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60" w:type="pct"/>
            <w:textDirection w:val="lrTb"/>
            <w:noWrap w:val="false"/>
          </w:tcPr>
          <w:p>
            <w:pPr>
              <w:pBdr/>
              <w:spacing/>
              <w:ind w:firstLine="22"/>
              <w:contextualSpacing w:val="true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847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Единовременное денежное пособие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при выпуске из организаций, осуществляющих образовательную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8" w:type="pct"/>
            <w:textDirection w:val="lrTb"/>
            <w:noWrap w:val="false"/>
          </w:tcPr>
          <w:p>
            <w:pPr>
              <w:pBdr/>
              <w:spacing/>
              <w:ind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608" w:type="pct"/>
            <w:textDirection w:val="lrTb"/>
            <w:noWrap w:val="false"/>
          </w:tcPr>
          <w:p>
            <w:pPr>
              <w:pBdr/>
              <w:spacing/>
              <w:ind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677" w:type="pct"/>
            <w:textDirection w:val="lrTb"/>
            <w:noWrap w:val="false"/>
          </w:tcPr>
          <w:p>
            <w:pPr>
              <w:pBdr/>
              <w:spacing/>
              <w:ind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1 096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60" w:type="pct"/>
            <w:textDirection w:val="lrTb"/>
            <w:noWrap w:val="false"/>
          </w:tcPr>
          <w:p>
            <w:pPr>
              <w:pBdr/>
              <w:spacing/>
              <w:ind w:firstLine="22"/>
              <w:contextualSpacing w:val="true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847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менное пособие на приобретение комплекта одежды, обуви, мягкого инвентаря и оборудования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при выпуске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организаций, осуществляющих образовательную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8" w:type="pct"/>
            <w:textDirection w:val="lrTb"/>
            <w:noWrap w:val="false"/>
          </w:tcPr>
          <w:p>
            <w:pPr>
              <w:pBdr/>
              <w:spacing/>
              <w:ind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608" w:type="pct"/>
            <w:textDirection w:val="lrTb"/>
            <w:noWrap w:val="false"/>
          </w:tcPr>
          <w:p>
            <w:pPr>
              <w:pBdr/>
              <w:spacing/>
              <w:ind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677" w:type="pct"/>
            <w:textDirection w:val="lrTb"/>
            <w:noWrap w:val="false"/>
          </w:tcPr>
          <w:p>
            <w:pPr>
              <w:pBdr/>
              <w:spacing/>
              <w:ind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60" w:type="pct"/>
            <w:textDirection w:val="lrTb"/>
            <w:noWrap w:val="false"/>
          </w:tcPr>
          <w:p>
            <w:pPr>
              <w:pBdr/>
              <w:spacing/>
              <w:ind w:firstLine="22"/>
              <w:contextualSpacing w:val="true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84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Ежегодное пособие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на приобретение учебной литературы и письменных принадлежностей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 w:eastAsiaTheme="minorEastAsia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trike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trike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608" w:type="pct"/>
            <w:textDirection w:val="lrTb"/>
            <w:noWrap w:val="false"/>
          </w:tcPr>
          <w:p>
            <w:pPr>
              <w:pBdr/>
              <w:spacing/>
              <w:ind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608" w:type="pct"/>
            <w:textDirection w:val="lrTb"/>
            <w:noWrap w:val="false"/>
          </w:tcPr>
          <w:p>
            <w:pPr>
              <w:pBdr/>
              <w:spacing/>
              <w:ind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677" w:type="pct"/>
            <w:textDirection w:val="lrTb"/>
            <w:noWrap w:val="false"/>
          </w:tcPr>
          <w:p>
            <w:pPr>
              <w:pBdr/>
              <w:spacing/>
              <w:ind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60" w:type="pct"/>
            <w:textDirection w:val="lrTb"/>
            <w:noWrap w:val="false"/>
          </w:tcPr>
          <w:p>
            <w:pPr>
              <w:pBdr/>
              <w:spacing/>
              <w:ind w:firstLine="22"/>
              <w:contextualSpacing w:val="true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84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Ежегодное пособ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ие на приобретение комплекта одежды, обуви и мягкого инвентаря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 w:eastAsiaTheme="minorEastAsia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trike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strike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608" w:type="pct"/>
            <w:textDirection w:val="lrTb"/>
            <w:noWrap w:val="false"/>
          </w:tcPr>
          <w:p>
            <w:pPr>
              <w:pBdr/>
              <w:spacing/>
              <w:ind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289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608" w:type="pct"/>
            <w:textDirection w:val="lrTb"/>
            <w:noWrap w:val="false"/>
          </w:tcPr>
          <w:p>
            <w:pPr>
              <w:pBdr/>
              <w:spacing/>
              <w:ind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289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677" w:type="pct"/>
            <w:textDirection w:val="lrTb"/>
            <w:noWrap w:val="false"/>
          </w:tcPr>
          <w:p>
            <w:pPr>
              <w:pBdr/>
              <w:spacing/>
              <w:ind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289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/>
            <w:tcW w:w="260" w:type="pct"/>
            <w:textDirection w:val="lrTb"/>
            <w:noWrap w:val="false"/>
          </w:tcPr>
          <w:p>
            <w:pPr>
              <w:pBdr/>
              <w:spacing/>
              <w:ind w:firstLine="22"/>
              <w:contextualSpacing w:val="true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84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Ежемесячное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пособие на питание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608" w:type="pct"/>
            <w:textDirection w:val="lrTb"/>
            <w:noWrap w:val="false"/>
          </w:tcPr>
          <w:p>
            <w:pPr>
              <w:pBdr/>
              <w:spacing/>
              <w:ind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9 54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608" w:type="pct"/>
            <w:textDirection w:val="lrTb"/>
            <w:noWrap w:val="false"/>
          </w:tcPr>
          <w:p>
            <w:pPr>
              <w:pBdr/>
              <w:spacing/>
              <w:ind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9 92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677" w:type="pct"/>
            <w:textDirection w:val="lrTb"/>
            <w:noWrap w:val="false"/>
          </w:tcPr>
          <w:p>
            <w:pPr>
              <w:pBdr/>
              <w:spacing/>
              <w:ind w:firstLine="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10 32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Bdr/>
        <w:spacing w:after="0" w:line="240" w:lineRule="auto"/>
        <w:ind w:firstLine="851"/>
        <w:rPr/>
        <w:sectPr>
          <w:headerReference w:type="default" r:id="rId11"/>
          <w:footnotePr/>
          <w:endnotePr/>
          <w:type w:val="nextPage"/>
          <w:pgSz w:h="16838" w:orient="portrait" w:w="11906"/>
          <w:pgMar w:top="1134" w:right="1133" w:bottom="1134" w:left="534" w:header="708" w:footer="708" w:gutter="0"/>
          <w:pgNumType w:start="1"/>
          <w:cols w:num="1" w:sep="0" w:space="708" w:equalWidth="1"/>
          <w:titlePg/>
        </w:sectPr>
      </w:pPr>
      <w:r/>
      <w:r/>
    </w:p>
    <w:p>
      <w:pPr>
        <w:pStyle w:val="967"/>
        <w:pBdr/>
        <w:spacing w:after="0" w:line="240" w:lineRule="auto"/>
        <w:ind w:firstLine="851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pBdr/>
        <w:spacing w:after="0" w:line="240" w:lineRule="auto"/>
        <w:ind w:firstLine="851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pBdr/>
        <w:spacing w:after="0" w:line="240" w:lineRule="auto"/>
        <w:ind w:firstLine="851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pBdr/>
        <w:spacing w:after="0" w:line="240" w:lineRule="auto"/>
        <w:ind w:firstLine="851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pBdr/>
        <w:spacing w:after="0" w:line="240" w:lineRule="auto"/>
        <w:ind w:firstLine="851"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«__» _____ 2025 № 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0"/>
        <w:pBdr/>
        <w:spacing/>
        <w:ind w:firstLine="851"/>
        <w:jc w:val="center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980"/>
        <w:pBdr/>
        <w:spacing/>
        <w:ind w:firstLine="851"/>
        <w:jc w:val="center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980"/>
        <w:pBdr/>
        <w:spacing/>
        <w:ind w:firstLine="851"/>
        <w:jc w:val="center"/>
        <w:rPr>
          <w:rFonts w:ascii="Times New Roman" w:hAnsi="Times New Roman" w:cs="Times New Roman" w:eastAsiaTheme="minorHAnsi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 w:val="0"/>
          <w:bCs w:val="0"/>
          <w:sz w:val="28"/>
          <w:szCs w:val="28"/>
          <w:lang w:eastAsia="en-US"/>
        </w:rPr>
        <w:t xml:space="preserve">Размеры выплат по видам социальной поддержки</w:t>
      </w:r>
      <w:r>
        <w:rPr>
          <w:rFonts w:ascii="Times New Roman" w:hAnsi="Times New Roman" w:cs="Times New Roman" w:eastAsiaTheme="minorHAnsi"/>
          <w:b w:val="0"/>
          <w:bCs w:val="0"/>
          <w:sz w:val="28"/>
          <w:szCs w:val="28"/>
          <w:lang w:eastAsia="en-US"/>
        </w:rPr>
      </w:r>
    </w:p>
    <w:p>
      <w:pPr>
        <w:pStyle w:val="980"/>
        <w:pBdr/>
        <w:spacing/>
        <w:ind w:firstLine="851"/>
        <w:jc w:val="center"/>
        <w:rPr>
          <w:b w:val="0"/>
        </w:rPr>
      </w:pPr>
      <w:r>
        <w:rPr>
          <w:rFonts w:ascii="Times New Roman" w:hAnsi="Times New Roman" w:cs="Times New Roman" w:eastAsiaTheme="minorHAnsi"/>
          <w:b w:val="0"/>
          <w:bCs w:val="0"/>
          <w:sz w:val="28"/>
          <w:szCs w:val="28"/>
          <w:lang w:eastAsia="en-US"/>
        </w:rPr>
        <w:t xml:space="preserve">детей-сирот и детей, оставшихся без попечения родителей, лиц из числа детей-сирот и детей, оставшихся без попечения </w:t>
      </w:r>
      <w:r>
        <w:rPr>
          <w:rFonts w:ascii="Times New Roman" w:hAnsi="Times New Roman" w:cs="Times New Roman" w:eastAsiaTheme="minorHAnsi"/>
          <w:b w:val="0"/>
          <w:bCs w:val="0"/>
          <w:sz w:val="28"/>
          <w:szCs w:val="28"/>
          <w:lang w:eastAsia="en-US"/>
        </w:rPr>
        <w:t xml:space="preserve">родителей, с ограниченными возможностями здоровья (в том числе с различными формами умственной отсталости), обучающихся по программам переподготовки рабочих и служащих по очной форме обучения</w:t>
      </w:r>
      <w:r>
        <w:rPr>
          <w:b w:val="0"/>
        </w:rPr>
        <w:t xml:space="preserve">, </w:t>
      </w:r>
      <w:r>
        <w:rPr>
          <w:rFonts w:ascii="Times New Roman" w:hAnsi="Times New Roman"/>
          <w:b w:val="0"/>
          <w:sz w:val="28"/>
          <w:szCs w:val="28"/>
        </w:rPr>
        <w:t xml:space="preserve">на 2026 год и на плановый период 2027 и 2028 годов</w:t>
      </w:r>
      <w:r>
        <w:rPr>
          <w:b w:val="0"/>
        </w:rPr>
      </w:r>
    </w:p>
    <w:p>
      <w:pPr>
        <w:pStyle w:val="979"/>
        <w:pBdr/>
        <w:spacing/>
        <w:ind w:firstLine="851"/>
        <w:rPr/>
      </w:pPr>
      <w:r/>
      <w:r/>
    </w:p>
    <w:p>
      <w:pPr>
        <w:pStyle w:val="979"/>
        <w:pBdr/>
        <w:spacing/>
        <w:ind w:firstLine="851"/>
        <w:jc w:val="both"/>
        <w:rPr/>
      </w:pPr>
      <w:r/>
      <w:r/>
    </w:p>
    <w:tbl>
      <w:tblPr>
        <w:tblW w:w="10485" w:type="dxa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237"/>
        <w:gridCol w:w="1276"/>
        <w:gridCol w:w="1134"/>
        <w:gridCol w:w="1276"/>
      </w:tblGrid>
      <w:tr>
        <w:trPr/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№</w:t>
            </w:r>
            <w:r/>
          </w:p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п/п</w:t>
            </w:r>
            <w:r/>
          </w:p>
        </w:tc>
        <w:tc>
          <w:tcPr>
            <w:tcBorders/>
            <w:tcW w:w="6237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Наим</w:t>
            </w:r>
            <w:r>
              <w:t xml:space="preserve">енование выплаты </w:t>
            </w:r>
            <w:r/>
          </w:p>
        </w:tc>
        <w:tc>
          <w:tcPr>
            <w:gridSpan w:val="3"/>
            <w:tcBorders/>
            <w:tcW w:w="368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Размер выплаты, рублей</w:t>
            </w:r>
            <w:r/>
          </w:p>
        </w:tc>
      </w:tr>
      <w:tr>
        <w:trPr/>
        <w:tc>
          <w:tcPr>
            <w:tcBorders/>
            <w:tcW w:w="562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6237" w:type="dxa"/>
            <w:vMerge w:val="continue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 w:hanging="57"/>
              <w:jc w:val="center"/>
              <w:rPr/>
            </w:pPr>
            <w:r>
              <w:t xml:space="preserve">2026 год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2027 год</w:t>
            </w:r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2028 год</w:t>
            </w:r>
            <w:r/>
          </w:p>
        </w:tc>
      </w:tr>
      <w:tr>
        <w:trPr>
          <w:trHeight w:val="276"/>
        </w:trPr>
        <w:tc>
          <w:tcPr>
            <w:tcBorders/>
            <w:tcW w:w="562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6237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 w:hanging="57"/>
              <w:jc w:val="center"/>
              <w:rPr/>
            </w:pPr>
            <w:r>
              <w:t xml:space="preserve">3</w:t>
            </w:r>
            <w:r/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/>
            <w:tcW w:w="1276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1.</w:t>
            </w:r>
            <w:r/>
          </w:p>
        </w:tc>
        <w:tc>
          <w:tcPr>
            <w:tcBorders/>
            <w:tcW w:w="6237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>
              <w:t xml:space="preserve">Ежегодное пособие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</w:t>
            </w:r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3 612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3 757</w:t>
            </w:r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rPr>
                <w:lang w:val="en-US"/>
              </w:rPr>
              <w:t xml:space="preserve">3 908</w:t>
            </w:r>
            <w:r/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2.</w:t>
            </w:r>
            <w:r/>
          </w:p>
        </w:tc>
        <w:tc>
          <w:tcPr>
            <w:tcBorders/>
            <w:tcW w:w="6237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>
              <w:t xml:space="preserve">Ежемесячное пособие детям-сиротам, детям, оставшимся без попечения родителей, лицам из числа детей-сирот и детей, оставшихся без попечения родителей (выплачиваемое в период до 1 сентября соответствующего года)</w:t>
            </w:r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1 202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1 251</w:t>
            </w:r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</w:t>
            </w:r>
            <w:r>
              <w:rPr>
                <w:lang w:val="en-US"/>
              </w:rPr>
              <w:t xml:space="preserve">301</w:t>
            </w:r>
            <w:r/>
          </w:p>
        </w:tc>
      </w:tr>
      <w:tr>
        <w:trPr/>
        <w:tc>
          <w:tcPr>
            <w:tcBorders/>
            <w:tcW w:w="562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3.</w:t>
            </w:r>
            <w:r/>
          </w:p>
        </w:tc>
        <w:tc>
          <w:tcPr>
            <w:tcBorders/>
            <w:tcW w:w="6237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both"/>
              <w:rPr/>
            </w:pPr>
            <w:r>
              <w:t xml:space="preserve">Ежемесячное пособие детя</w:t>
            </w:r>
            <w:r>
              <w:t xml:space="preserve">м-сиротам, детям, оставшимся без попечения родителей, лицам из числа детей-сирот и детей, оставшихся без попечения родителей (выплачиваемое в период с 1 сентября соответствующего года)</w:t>
            </w:r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1 251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1 301</w:t>
            </w:r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center"/>
              <w:rPr/>
            </w:pPr>
            <w:r>
              <w:t xml:space="preserve">1 3</w:t>
            </w:r>
            <w:r>
              <w:rPr>
                <w:lang w:val="en-US"/>
              </w:rPr>
              <w:t xml:space="preserve">53</w:t>
            </w:r>
            <w:r/>
          </w:p>
        </w:tc>
      </w:tr>
    </w:tbl>
    <w:p>
      <w:pPr>
        <w:pBdr/>
        <w:spacing w:after="0" w:line="240" w:lineRule="auto"/>
        <w:ind w:firstLine="851"/>
        <w:rPr/>
      </w:pPr>
      <w:r/>
      <w:r/>
    </w:p>
    <w:p>
      <w:pPr>
        <w:pBdr/>
        <w:spacing w:after="0" w:line="240" w:lineRule="auto"/>
        <w:ind w:firstLine="851"/>
        <w:rPr/>
        <w:sectPr>
          <w:footnotePr/>
          <w:endnotePr/>
          <w:type w:val="nextPage"/>
          <w:pgSz w:h="16838" w:orient="portrait" w:w="11906"/>
          <w:pgMar w:top="1134" w:right="1133" w:bottom="1134" w:left="534" w:header="708" w:footer="708" w:gutter="0"/>
          <w:pgNumType w:start="1"/>
          <w:cols w:num="1" w:sep="0" w:space="708" w:equalWidth="1"/>
          <w:titlePg/>
        </w:sectPr>
      </w:pPr>
      <w:r/>
      <w:r/>
    </w:p>
    <w:p>
      <w:pPr>
        <w:pBdr/>
        <w:tabs>
          <w:tab w:val="left" w:leader="none" w:pos="-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tabs>
          <w:tab w:val="left" w:leader="none" w:pos="-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tabs>
          <w:tab w:val="left" w:leader="none" w:pos="-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размеров выплат по видам социальной поддержки детей-сирот и детей, оставшихся без попечения родителей, лиц из числа детей-сирот и детей, оставшихся без попечения родителей, и л</w:t>
      </w:r>
      <w:r>
        <w:rPr>
          <w:rFonts w:ascii="Times New Roman" w:hAnsi="Times New Roman" w:cs="Times New Roman"/>
          <w:b/>
          <w:sz w:val="28"/>
          <w:szCs w:val="28"/>
        </w:rPr>
        <w:t xml:space="preserve">иц, потерявших в период обучения обоих родителей или единственного родителя, детей-инвалидов, инвалидов, обучающихся по основным образовательным программам, </w:t>
      </w:r>
      <w:r>
        <w:rPr>
          <w:rFonts w:ascii="Times New Roman" w:hAnsi="Times New Roman"/>
          <w:b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tabs>
          <w:tab w:val="left" w:leader="none" w:pos="-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tabs>
          <w:tab w:val="left" w:leader="none" w:pos="-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</w:t>
      </w:r>
      <w:r>
        <w:rPr>
          <w:rFonts w:ascii="Times New Roman" w:hAnsi="Times New Roman" w:cs="Times New Roman"/>
          <w:sz w:val="28"/>
          <w:szCs w:val="28"/>
        </w:rPr>
        <w:t xml:space="preserve">лики Татарстан «Об утверждении размеров выплат по видам социальной поддержки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</w:t>
      </w:r>
      <w:r>
        <w:rPr>
          <w:rFonts w:ascii="Times New Roman" w:hAnsi="Times New Roman" w:cs="Times New Roman"/>
          <w:sz w:val="28"/>
          <w:szCs w:val="28"/>
        </w:rPr>
        <w:t xml:space="preserve">или единственного родителя, детей-инвалидов, инвалидов, обучающихся по основным образовательным программам,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 xml:space="preserve">» разработан государственным бюджетным учреждением «Центр экономических и социальных исследований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при Кабинете Министров Республики Татарстан» </w:t>
      </w:r>
      <w:r>
        <w:rPr>
          <w:rFonts w:ascii="Times New Roman" w:hAnsi="Times New Roman"/>
          <w:sz w:val="28"/>
          <w:szCs w:val="28"/>
        </w:rPr>
        <w:t xml:space="preserve">во исполнение распоряжения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br/>
        <w:t xml:space="preserve">от 23.12.2024 № 2996-р.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-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Кабинета Министров Республики Татарстан утверждаются с 1 января 2026 года: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-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выплат по видам социальной поддержки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родителя, дете</w:t>
      </w:r>
      <w:r>
        <w:rPr>
          <w:rFonts w:ascii="Times New Roman" w:hAnsi="Times New Roman" w:cs="Times New Roman"/>
          <w:sz w:val="28"/>
          <w:szCs w:val="28"/>
        </w:rPr>
        <w:t xml:space="preserve">й-инвалидов, инвалидов обучающихся по основным образовательным программам в государственных профессиональных образовательных организациях и государственных образовательных организациях высшего образования,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-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выплат по видам социальной поддержки лиц из числа детей-сирот и детей, оставшихся без попечения родителей, и лиц, потерявших в период обучения обоих родителей или единственного родителя, обучающихся по образовательным программам основного общего,</w:t>
      </w:r>
      <w:r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7"/>
        <w:pBdr/>
        <w:spacing w:after="0" w:afterAutospacing="0" w:before="0" w:before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/>
      <w:hyperlink r:id="rId16" w:tooltip="https://login.consultant.ru/link/?req=doc&amp;base=RLAW363&amp;n=182590&amp;dst=100227&amp;field=134&amp;date=12.08.2024" w:history="1">
        <w:r>
          <w:rPr>
            <w:rFonts w:eastAsiaTheme="minorHAnsi"/>
            <w:sz w:val="28"/>
            <w:szCs w:val="28"/>
            <w:lang w:eastAsia="en-US"/>
          </w:rPr>
          <w:t xml:space="preserve">размеры</w:t>
        </w:r>
      </w:hyperlink>
      <w:r>
        <w:rPr>
          <w:rFonts w:eastAsiaTheme="minorHAnsi"/>
          <w:sz w:val="28"/>
          <w:szCs w:val="28"/>
          <w:lang w:eastAsia="en-US"/>
        </w:rPr>
        <w:t xml:space="preserve"> выплат по видам социальной поддержки детей-сирот и детей, оставшихся без попечения родител</w:t>
      </w:r>
      <w:r>
        <w:rPr>
          <w:rFonts w:eastAsiaTheme="minorHAnsi"/>
          <w:sz w:val="28"/>
          <w:szCs w:val="28"/>
          <w:lang w:eastAsia="en-US"/>
        </w:rPr>
        <w:t xml:space="preserve">ей, лиц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отсталости), обучающихся по программам переподготовки рабочих и служащих по очной форме обучения,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2026 год и на плановый период 2027 и 2028</w:t>
      </w:r>
      <w:r>
        <w:rPr>
          <w:sz w:val="28"/>
          <w:szCs w:val="28"/>
        </w:rPr>
        <w:t xml:space="preserve"> годов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967"/>
        <w:pBdr/>
        <w:spacing w:after="0"/>
        <w:ind w:firstLine="851" w:left="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Размер выплат по видам социальной поддержки рассчитан на основе натуральных норм предоставления данных выплат социальной поддержки, утвержденных: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67"/>
        <w:pBdr/>
        <w:spacing w:after="0"/>
        <w:ind w:firstLine="851" w:left="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постановлением Кабинета Министров Республики Татарстан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          от 16.05.2003 № 266 «О первоочередных мерах по улучшению положения детей-сирот и детей, оставшихся без попечения родителей»;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67"/>
        <w:pBdr/>
        <w:spacing w:after="0"/>
        <w:ind w:firstLine="851" w:left="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постановление Кабинета Министров Республики Татарстан                         от 17.12.2004 № 542 «Об утвержде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нии Положения о порядке предоставления денежных выплат, пособий, субсидий и стипендий отдельным категориям населения в Республике Татарстан»;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67"/>
        <w:pBdr/>
        <w:spacing w:after="0"/>
        <w:ind w:firstLine="851" w:left="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Законом Республики Татарстан от 08.12.2004 № 63-ЗРТ «Об адресной социальной поддержке населения в Республике Татар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стан».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67"/>
        <w:pBdr/>
        <w:spacing w:after="0"/>
        <w:ind w:firstLine="851" w:left="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В соответствии с Бюджетным кодексом Российской Федерации и Бюджетным кодексом Республики Татарстан бюджет Республики Татарстан принимается на три года (очередной финансовый год и плановый период). Согласно статье 69.2. БКРФ в случае утверждения бюдж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ета на очередной финансовый год и плановый период государственное (муниципальное) задание на оказание государственных (муниципальных) услуг (выполнение работ) учреждениями субъекта Российской Федерации, муниципальными учреждениями формируется в порядке, ус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тановленном соответственно высшим исполнительным органом субъекта Российской Федерации, местной администрацией муниципального образования, на срок до трех лет (с возможным уточнением при составлении проекта бюджета). В связи с изложенным нормативы финансов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ого обеспечения необходимо устанавливать на три года (очередной финансовый год и плановый период).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67"/>
        <w:pBdr/>
        <w:spacing w:after="0"/>
        <w:ind w:firstLine="851" w:left="0"/>
        <w:jc w:val="both"/>
        <w:rPr>
          <w:rFonts w:ascii="Times New Roman" w:hAnsi="Times New Roman" w:cs="Times New Roman" w:eastAsiaTheme="minorHAnsi"/>
          <w:sz w:val="28"/>
          <w:szCs w:val="28"/>
          <w:highlight w:val="white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Реализация проекта постановления Кабинета Министров Республики Татарстан предусматривается в пределах средств, запланированных в проекте бюджета Республики Т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атарста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н </w:t>
      </w:r>
      <w:r>
        <w:rPr>
          <w:rFonts w:ascii="Times New Roman" w:hAnsi="Times New Roman"/>
          <w:sz w:val="28"/>
          <w:szCs w:val="28"/>
          <w:highlight w:val="white"/>
        </w:rPr>
        <w:t xml:space="preserve">на 2026 год и на плановый период 2027 и 2028 годов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, и составляет на 2026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 –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307 596,8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тыс. рублей, 2027 –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316 954,3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т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ыс. рублей, 2028 –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3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26 674,4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 тыс. рублей.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</w:rPr>
      </w:r>
    </w:p>
    <w:p>
      <w:pPr>
        <w:pStyle w:val="967"/>
        <w:pBdr/>
        <w:spacing w:after="0"/>
        <w:ind w:firstLine="851" w:left="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Отсутствует необходимость в проведении оценки регулирующего воздействия проекта постановл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ения Кабинета Министров Республики Татарстан.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967"/>
        <w:pBdr/>
        <w:spacing w:after="0"/>
        <w:ind w:firstLine="851" w:left="0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sectPr>
      <w:headerReference w:type="default" r:id="rId12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44583225"/>
      <w:docPartObj>
        <w:docPartGallery w:val="Page Numbers (Top of Page)"/>
        <w:docPartUnique w:val="true"/>
      </w:docPartObj>
      <w:rPr/>
    </w:sdtPr>
    <w:sdtContent>
      <w:p>
        <w:pPr>
          <w:pStyle w:val="969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6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64867160"/>
      <w:docPartObj>
        <w:docPartGallery w:val="Page Numbers (Top of Page)"/>
        <w:docPartUnique w:val="true"/>
      </w:docPartObj>
      <w:rPr/>
    </w:sdtPr>
    <w:sdtContent>
      <w:p>
        <w:pPr>
          <w:pStyle w:val="969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49626367"/>
      <w:docPartObj>
        <w:docPartGallery w:val="Page Numbers (Top of Page)"/>
        <w:docPartUnique w:val="true"/>
      </w:docPartObj>
      <w:rPr/>
    </w:sdtPr>
    <w:sdtContent>
      <w:p>
        <w:pPr>
          <w:pStyle w:val="969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69"/>
      <w:pBdr/>
      <w:spacing/>
      <w:ind/>
      <w:jc w:val="center"/>
      <w:rPr>
        <w:lang w:val="en-US"/>
      </w:rPr>
    </w:pPr>
    <w:r>
      <w:rPr>
        <w:lang w:val="en-US"/>
      </w:rPr>
    </w:r>
    <w:r>
      <w:rPr>
        <w:lang w:val="en-US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pBdr/>
      <w:spacing/>
      <w:ind/>
      <w:jc w:val="center"/>
      <w:rPr>
        <w:lang w:val="en-US"/>
      </w:rPr>
    </w:pPr>
    <w:r>
      <w:rPr>
        <w:lang w:val="en-US"/>
      </w:rPr>
      <w:t xml:space="preserve">2</w:t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92"/>
    <w:link w:val="7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92"/>
    <w:link w:val="7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92"/>
    <w:link w:val="7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92"/>
    <w:link w:val="7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92"/>
    <w:link w:val="7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92"/>
    <w:link w:val="7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92"/>
    <w:link w:val="7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92"/>
    <w:link w:val="7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92"/>
    <w:link w:val="7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92"/>
    <w:link w:val="92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92"/>
    <w:link w:val="93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92"/>
    <w:link w:val="93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92"/>
    <w:link w:val="93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792"/>
    <w:link w:val="948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92"/>
    <w:link w:val="951"/>
    <w:uiPriority w:val="99"/>
    <w:semiHidden/>
    <w:pPr>
      <w:pBdr/>
      <w:spacing/>
      <w:ind/>
    </w:pPr>
    <w:rPr>
      <w:sz w:val="20"/>
      <w:szCs w:val="20"/>
    </w:rPr>
  </w:style>
  <w:style w:type="paragraph" w:styleId="782" w:default="1">
    <w:name w:val="Normal"/>
    <w:qFormat/>
    <w:pPr>
      <w:pBdr/>
      <w:spacing/>
      <w:ind/>
    </w:pPr>
  </w:style>
  <w:style w:type="paragraph" w:styleId="783">
    <w:name w:val="Heading 1"/>
    <w:basedOn w:val="782"/>
    <w:next w:val="782"/>
    <w:link w:val="92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84">
    <w:name w:val="Heading 2"/>
    <w:basedOn w:val="782"/>
    <w:next w:val="782"/>
    <w:link w:val="92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85">
    <w:name w:val="Heading 3"/>
    <w:basedOn w:val="782"/>
    <w:next w:val="782"/>
    <w:link w:val="92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86">
    <w:name w:val="Heading 4"/>
    <w:basedOn w:val="782"/>
    <w:next w:val="782"/>
    <w:link w:val="92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87">
    <w:name w:val="Heading 5"/>
    <w:basedOn w:val="782"/>
    <w:next w:val="782"/>
    <w:link w:val="92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88">
    <w:name w:val="Heading 6"/>
    <w:basedOn w:val="782"/>
    <w:next w:val="782"/>
    <w:link w:val="92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9">
    <w:name w:val="Heading 7"/>
    <w:basedOn w:val="782"/>
    <w:next w:val="782"/>
    <w:link w:val="92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0">
    <w:name w:val="Heading 8"/>
    <w:basedOn w:val="782"/>
    <w:next w:val="782"/>
    <w:link w:val="92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1">
    <w:name w:val="Heading 9"/>
    <w:basedOn w:val="782"/>
    <w:next w:val="782"/>
    <w:link w:val="92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2" w:default="1">
    <w:name w:val="Default Paragraph Font"/>
    <w:uiPriority w:val="1"/>
    <w:semiHidden/>
    <w:unhideWhenUsed/>
    <w:pPr>
      <w:pBdr/>
      <w:spacing/>
      <w:ind/>
    </w:pPr>
  </w:style>
  <w:style w:type="table" w:styleId="7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4" w:default="1">
    <w:name w:val="No List"/>
    <w:uiPriority w:val="99"/>
    <w:semiHidden/>
    <w:unhideWhenUsed/>
    <w:pPr>
      <w:pBdr/>
      <w:spacing/>
      <w:ind/>
    </w:pPr>
  </w:style>
  <w:style w:type="table" w:styleId="795" w:customStyle="1">
    <w:name w:val="Table Grid Light"/>
    <w:basedOn w:val="79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1"/>
    <w:basedOn w:val="79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2"/>
    <w:basedOn w:val="79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1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2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3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4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5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6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1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2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3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4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5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6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1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2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3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4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5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6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0" w:customStyle="1">
    <w:name w:val="Заголовок 1 Знак"/>
    <w:basedOn w:val="792"/>
    <w:link w:val="78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21" w:customStyle="1">
    <w:name w:val="Заголовок 2 Знак"/>
    <w:basedOn w:val="792"/>
    <w:link w:val="78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22" w:customStyle="1">
    <w:name w:val="Заголовок 3 Знак"/>
    <w:basedOn w:val="792"/>
    <w:link w:val="78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23" w:customStyle="1">
    <w:name w:val="Заголовок 4 Знак"/>
    <w:basedOn w:val="792"/>
    <w:link w:val="78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24" w:customStyle="1">
    <w:name w:val="Заголовок 5 Знак"/>
    <w:basedOn w:val="792"/>
    <w:link w:val="78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25" w:customStyle="1">
    <w:name w:val="Заголовок 6 Знак"/>
    <w:basedOn w:val="792"/>
    <w:link w:val="7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6" w:customStyle="1">
    <w:name w:val="Заголовок 7 Знак"/>
    <w:basedOn w:val="792"/>
    <w:link w:val="7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7" w:customStyle="1">
    <w:name w:val="Заголовок 8 Знак"/>
    <w:basedOn w:val="792"/>
    <w:link w:val="7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8" w:customStyle="1">
    <w:name w:val="Заголовок 9 Знак"/>
    <w:basedOn w:val="792"/>
    <w:link w:val="7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9">
    <w:name w:val="Title"/>
    <w:basedOn w:val="782"/>
    <w:next w:val="782"/>
    <w:link w:val="93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0" w:customStyle="1">
    <w:name w:val="Название Знак"/>
    <w:basedOn w:val="792"/>
    <w:link w:val="92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1">
    <w:name w:val="Subtitle"/>
    <w:basedOn w:val="782"/>
    <w:next w:val="782"/>
    <w:link w:val="93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2" w:customStyle="1">
    <w:name w:val="Подзаголовок Знак"/>
    <w:basedOn w:val="792"/>
    <w:link w:val="93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3">
    <w:name w:val="Quote"/>
    <w:basedOn w:val="782"/>
    <w:next w:val="782"/>
    <w:link w:val="93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4" w:customStyle="1">
    <w:name w:val="Цитата 2 Знак"/>
    <w:basedOn w:val="792"/>
    <w:link w:val="93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5">
    <w:name w:val="Intense Emphasis"/>
    <w:basedOn w:val="79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36">
    <w:name w:val="Intense Quote"/>
    <w:basedOn w:val="782"/>
    <w:next w:val="782"/>
    <w:link w:val="937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37" w:customStyle="1">
    <w:name w:val="Выделенная цитата Знак"/>
    <w:basedOn w:val="792"/>
    <w:link w:val="936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38">
    <w:name w:val="Intense Reference"/>
    <w:basedOn w:val="79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39">
    <w:name w:val="No Spacing"/>
    <w:basedOn w:val="782"/>
    <w:uiPriority w:val="1"/>
    <w:qFormat/>
    <w:pPr>
      <w:pBdr/>
      <w:spacing w:after="0" w:line="240" w:lineRule="auto"/>
      <w:ind/>
    </w:pPr>
  </w:style>
  <w:style w:type="character" w:styleId="940">
    <w:name w:val="Subtle Emphasis"/>
    <w:basedOn w:val="7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1">
    <w:name w:val="Emphasis"/>
    <w:basedOn w:val="792"/>
    <w:uiPriority w:val="20"/>
    <w:qFormat/>
    <w:pPr>
      <w:pBdr/>
      <w:spacing/>
      <w:ind/>
    </w:pPr>
    <w:rPr>
      <w:i/>
      <w:iCs/>
    </w:rPr>
  </w:style>
  <w:style w:type="character" w:styleId="942">
    <w:name w:val="Strong"/>
    <w:basedOn w:val="792"/>
    <w:uiPriority w:val="22"/>
    <w:qFormat/>
    <w:pPr>
      <w:pBdr/>
      <w:spacing/>
      <w:ind/>
    </w:pPr>
    <w:rPr>
      <w:b/>
      <w:bCs/>
    </w:rPr>
  </w:style>
  <w:style w:type="character" w:styleId="943">
    <w:name w:val="Subtle Reference"/>
    <w:basedOn w:val="7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4">
    <w:name w:val="Book Title"/>
    <w:basedOn w:val="7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5" w:customStyle="1">
    <w:name w:val="Header Char"/>
    <w:basedOn w:val="792"/>
    <w:uiPriority w:val="99"/>
    <w:pPr>
      <w:pBdr/>
      <w:spacing/>
      <w:ind/>
    </w:pPr>
  </w:style>
  <w:style w:type="character" w:styleId="946" w:customStyle="1">
    <w:name w:val="Footer Char"/>
    <w:basedOn w:val="792"/>
    <w:uiPriority w:val="99"/>
    <w:pPr>
      <w:pBdr/>
      <w:spacing/>
      <w:ind/>
    </w:pPr>
  </w:style>
  <w:style w:type="paragraph" w:styleId="947">
    <w:name w:val="Caption"/>
    <w:basedOn w:val="782"/>
    <w:next w:val="782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948">
    <w:name w:val="footnote text"/>
    <w:basedOn w:val="782"/>
    <w:link w:val="9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9" w:customStyle="1">
    <w:name w:val="Текст сноски Знак"/>
    <w:basedOn w:val="792"/>
    <w:link w:val="948"/>
    <w:uiPriority w:val="99"/>
    <w:semiHidden/>
    <w:pPr>
      <w:pBdr/>
      <w:spacing/>
      <w:ind/>
    </w:pPr>
    <w:rPr>
      <w:sz w:val="20"/>
      <w:szCs w:val="20"/>
    </w:rPr>
  </w:style>
  <w:style w:type="character" w:styleId="950">
    <w:name w:val="footnote reference"/>
    <w:basedOn w:val="792"/>
    <w:uiPriority w:val="99"/>
    <w:semiHidden/>
    <w:unhideWhenUsed/>
    <w:pPr>
      <w:pBdr/>
      <w:spacing/>
      <w:ind/>
    </w:pPr>
    <w:rPr>
      <w:vertAlign w:val="superscript"/>
    </w:rPr>
  </w:style>
  <w:style w:type="paragraph" w:styleId="951">
    <w:name w:val="endnote text"/>
    <w:basedOn w:val="782"/>
    <w:link w:val="95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2" w:customStyle="1">
    <w:name w:val="Текст концевой сноски Знак"/>
    <w:basedOn w:val="792"/>
    <w:link w:val="951"/>
    <w:uiPriority w:val="99"/>
    <w:semiHidden/>
    <w:pPr>
      <w:pBdr/>
      <w:spacing/>
      <w:ind/>
    </w:pPr>
    <w:rPr>
      <w:sz w:val="20"/>
      <w:szCs w:val="20"/>
    </w:rPr>
  </w:style>
  <w:style w:type="character" w:styleId="953">
    <w:name w:val="endnote reference"/>
    <w:basedOn w:val="792"/>
    <w:uiPriority w:val="99"/>
    <w:semiHidden/>
    <w:unhideWhenUsed/>
    <w:pPr>
      <w:pBdr/>
      <w:spacing/>
      <w:ind/>
    </w:pPr>
    <w:rPr>
      <w:vertAlign w:val="superscript"/>
    </w:rPr>
  </w:style>
  <w:style w:type="character" w:styleId="954">
    <w:name w:val="FollowedHyperlink"/>
    <w:basedOn w:val="79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55">
    <w:name w:val="toc 1"/>
    <w:basedOn w:val="782"/>
    <w:next w:val="782"/>
    <w:uiPriority w:val="39"/>
    <w:unhideWhenUsed/>
    <w:pPr>
      <w:pBdr/>
      <w:spacing w:after="100"/>
      <w:ind/>
    </w:pPr>
  </w:style>
  <w:style w:type="paragraph" w:styleId="956">
    <w:name w:val="toc 2"/>
    <w:basedOn w:val="782"/>
    <w:next w:val="782"/>
    <w:uiPriority w:val="39"/>
    <w:unhideWhenUsed/>
    <w:pPr>
      <w:pBdr/>
      <w:spacing w:after="100"/>
      <w:ind w:left="220"/>
    </w:pPr>
  </w:style>
  <w:style w:type="paragraph" w:styleId="957">
    <w:name w:val="toc 3"/>
    <w:basedOn w:val="782"/>
    <w:next w:val="782"/>
    <w:uiPriority w:val="39"/>
    <w:unhideWhenUsed/>
    <w:pPr>
      <w:pBdr/>
      <w:spacing w:after="100"/>
      <w:ind w:left="440"/>
    </w:pPr>
  </w:style>
  <w:style w:type="paragraph" w:styleId="958">
    <w:name w:val="toc 4"/>
    <w:basedOn w:val="782"/>
    <w:next w:val="782"/>
    <w:uiPriority w:val="39"/>
    <w:unhideWhenUsed/>
    <w:pPr>
      <w:pBdr/>
      <w:spacing w:after="100"/>
      <w:ind w:left="660"/>
    </w:pPr>
  </w:style>
  <w:style w:type="paragraph" w:styleId="959">
    <w:name w:val="toc 5"/>
    <w:basedOn w:val="782"/>
    <w:next w:val="782"/>
    <w:uiPriority w:val="39"/>
    <w:unhideWhenUsed/>
    <w:pPr>
      <w:pBdr/>
      <w:spacing w:after="100"/>
      <w:ind w:left="880"/>
    </w:pPr>
  </w:style>
  <w:style w:type="paragraph" w:styleId="960">
    <w:name w:val="toc 6"/>
    <w:basedOn w:val="782"/>
    <w:next w:val="782"/>
    <w:uiPriority w:val="39"/>
    <w:unhideWhenUsed/>
    <w:pPr>
      <w:pBdr/>
      <w:spacing w:after="100"/>
      <w:ind w:left="1100"/>
    </w:pPr>
  </w:style>
  <w:style w:type="paragraph" w:styleId="961">
    <w:name w:val="toc 7"/>
    <w:basedOn w:val="782"/>
    <w:next w:val="782"/>
    <w:uiPriority w:val="39"/>
    <w:unhideWhenUsed/>
    <w:pPr>
      <w:pBdr/>
      <w:spacing w:after="100"/>
      <w:ind w:left="1320"/>
    </w:pPr>
  </w:style>
  <w:style w:type="paragraph" w:styleId="962">
    <w:name w:val="toc 8"/>
    <w:basedOn w:val="782"/>
    <w:next w:val="782"/>
    <w:uiPriority w:val="39"/>
    <w:unhideWhenUsed/>
    <w:pPr>
      <w:pBdr/>
      <w:spacing w:after="100"/>
      <w:ind w:left="1540"/>
    </w:pPr>
  </w:style>
  <w:style w:type="paragraph" w:styleId="963">
    <w:name w:val="toc 9"/>
    <w:basedOn w:val="782"/>
    <w:next w:val="782"/>
    <w:uiPriority w:val="39"/>
    <w:unhideWhenUsed/>
    <w:pPr>
      <w:pBdr/>
      <w:spacing w:after="100"/>
      <w:ind w:left="1760"/>
    </w:pPr>
  </w:style>
  <w:style w:type="character" w:styleId="964">
    <w:name w:val="Placeholder Text"/>
    <w:basedOn w:val="792"/>
    <w:uiPriority w:val="99"/>
    <w:semiHidden/>
    <w:pPr>
      <w:pBdr/>
      <w:spacing/>
      <w:ind/>
    </w:pPr>
    <w:rPr>
      <w:color w:val="666666"/>
    </w:rPr>
  </w:style>
  <w:style w:type="paragraph" w:styleId="965">
    <w:name w:val="TOC Heading"/>
    <w:uiPriority w:val="39"/>
    <w:unhideWhenUsed/>
    <w:pPr>
      <w:pBdr/>
      <w:spacing/>
      <w:ind/>
    </w:pPr>
  </w:style>
  <w:style w:type="paragraph" w:styleId="966">
    <w:name w:val="table of figures"/>
    <w:basedOn w:val="782"/>
    <w:next w:val="782"/>
    <w:uiPriority w:val="99"/>
    <w:unhideWhenUsed/>
    <w:pPr>
      <w:pBdr/>
      <w:spacing w:after="0"/>
      <w:ind/>
    </w:pPr>
  </w:style>
  <w:style w:type="paragraph" w:styleId="967">
    <w:name w:val="List Paragraph"/>
    <w:basedOn w:val="782"/>
    <w:uiPriority w:val="34"/>
    <w:qFormat/>
    <w:pPr>
      <w:pBdr/>
      <w:spacing/>
      <w:ind w:left="720"/>
      <w:contextualSpacing w:val="true"/>
    </w:pPr>
    <w:rPr>
      <w:rFonts w:eastAsiaTheme="minorEastAsia"/>
      <w:lang w:eastAsia="ru-RU"/>
    </w:rPr>
  </w:style>
  <w:style w:type="table" w:styleId="968">
    <w:name w:val="Table Grid"/>
    <w:basedOn w:val="79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9">
    <w:name w:val="Header"/>
    <w:basedOn w:val="782"/>
    <w:link w:val="97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0" w:customStyle="1">
    <w:name w:val="Верхний колонтитул Знак"/>
    <w:basedOn w:val="792"/>
    <w:link w:val="969"/>
    <w:uiPriority w:val="99"/>
    <w:pPr>
      <w:pBdr/>
      <w:spacing/>
      <w:ind/>
    </w:pPr>
  </w:style>
  <w:style w:type="paragraph" w:styleId="971">
    <w:name w:val="Footer"/>
    <w:basedOn w:val="782"/>
    <w:link w:val="97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2" w:customStyle="1">
    <w:name w:val="Нижний колонтитул Знак"/>
    <w:basedOn w:val="792"/>
    <w:link w:val="971"/>
    <w:uiPriority w:val="99"/>
    <w:pPr>
      <w:pBdr/>
      <w:spacing/>
      <w:ind/>
    </w:pPr>
  </w:style>
  <w:style w:type="paragraph" w:styleId="973">
    <w:name w:val="Balloon Text"/>
    <w:basedOn w:val="782"/>
    <w:link w:val="97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74" w:customStyle="1">
    <w:name w:val="Текст выноски Знак"/>
    <w:basedOn w:val="792"/>
    <w:link w:val="97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5" w:customStyle="1">
    <w:name w:val="Default"/>
    <w:pPr>
      <w:pBdr/>
      <w:spacing w:after="0" w:line="240" w:lineRule="auto"/>
      <w:ind/>
    </w:pPr>
    <w:rPr>
      <w:rFonts w:ascii="Times New Roman" w:hAnsi="Times New Roman" w:cs="Times New Roman"/>
      <w:color w:val="000000"/>
      <w:sz w:val="24"/>
      <w:szCs w:val="24"/>
    </w:rPr>
  </w:style>
  <w:style w:type="table" w:styleId="976" w:customStyle="1">
    <w:name w:val="Сетка таблицы1"/>
    <w:basedOn w:val="793"/>
    <w:next w:val="96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7">
    <w:name w:val="Normal (Web)"/>
    <w:basedOn w:val="782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8">
    <w:name w:val="Hyperlink"/>
    <w:basedOn w:val="792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79" w:customStyle="1">
    <w:name w:val="ConsPlusNormal"/>
    <w:pPr>
      <w:widowControl w:val="false"/>
      <w:pBdr/>
      <w:spacing w:after="0" w:line="240" w:lineRule="auto"/>
      <w:ind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980" w:customStyle="1">
    <w:name w:val="ConsPlusTitle"/>
    <w:uiPriority w:val="99"/>
    <w:pPr>
      <w:widowControl w:val="false"/>
      <w:pBdr/>
      <w:spacing w:after="0" w:line="240" w:lineRule="auto"/>
      <w:ind/>
    </w:pPr>
    <w:rPr>
      <w:rFonts w:ascii="Arial" w:hAnsi="Arial" w:cs="Arial" w:eastAsiaTheme="minorEastAsia"/>
      <w:b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hyperlink" Target="consultantplus://offline/ref=E300772A247DC21FC1A2DA0DB7A222112E7327B7F51EC5B1056CB1391C5177E69AE2C44F290FDBE6257B85E4C6BF5DABED9063F8817E15470B01878AL9z9L" TargetMode="External"/><Relationship Id="rId15" Type="http://schemas.openxmlformats.org/officeDocument/2006/relationships/hyperlink" Target="https://login.consultant.ru/link/?req=doc&amp;base=RLAW363&amp;n=182590&amp;dst=100227&amp;field=134&amp;date=12.08.2024" TargetMode="External"/><Relationship Id="rId16" Type="http://schemas.openxmlformats.org/officeDocument/2006/relationships/hyperlink" Target="https://login.consultant.ru/link/?req=doc&amp;base=RLAW363&amp;n=182590&amp;dst=100227&amp;field=134&amp;date=12.08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D38A2-94D6-455C-9335-5B2B349A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mitrofanova</dc:creator>
  <cp:revision>10</cp:revision>
  <dcterms:created xsi:type="dcterms:W3CDTF">2025-08-08T07:40:00Z</dcterms:created>
  <dcterms:modified xsi:type="dcterms:W3CDTF">2025-08-08T08:47:58Z</dcterms:modified>
</cp:coreProperties>
</file>