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8"/>
        <w:pBdr/>
        <w:spacing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 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г.  </w:t>
        <w:tab/>
        <w:tab/>
        <w:tab/>
        <w:tab/>
        <w:tab/>
        <w:tab/>
        <w:tab/>
        <w:tab/>
        <w:t xml:space="preserve">№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  <w:tab w:val="left" w:leader="none" w:pos="4253"/>
        </w:tabs>
        <w:spacing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 w:after="0" w:line="240" w:lineRule="auto"/>
        <w:ind w:right="5102"/>
        <w:contextualSpacing w:val="true"/>
        <w:jc w:val="both"/>
        <w:rPr>
          <w:rFonts w:ascii="Times New Roman" w:hAnsi="Times New Roman"/>
          <w:sz w:val="28"/>
          <w:szCs w:val="28"/>
        </w:rPr>
      </w:pPr>
      <w:r/>
      <w:bookmarkStart w:id="0" w:name="_Hlk141886380"/>
      <w:r>
        <w:rPr>
          <w:rFonts w:ascii="Times New Roman" w:hAnsi="Times New Roman"/>
          <w:sz w:val="28"/>
          <w:szCs w:val="28"/>
        </w:rPr>
        <w:t xml:space="preserve">Об установлении нормативов для формирования стипендиального фонда за счет бюджетных </w:t>
      </w:r>
      <w:r>
        <w:rPr>
          <w:rFonts w:ascii="Times New Roman" w:hAnsi="Times New Roman"/>
          <w:sz w:val="28"/>
          <w:szCs w:val="28"/>
        </w:rPr>
        <w:t xml:space="preserve">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высшего образования, получающих образование за счет средств бюджета Республики Татарстан, </w:t>
      </w:r>
      <w:bookmarkEnd w:id="0"/>
      <w:r/>
      <w:bookmarkStart w:id="1" w:name="_Hlk172726263"/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/>
          <w:sz w:val="28"/>
          <w:szCs w:val="28"/>
        </w:rPr>
        <w:t xml:space="preserve">7 и 202</w:t>
      </w:r>
      <w:r>
        <w:rPr>
          <w:rFonts w:ascii="Times New Roman" w:hAnsi="Times New Roman"/>
          <w:sz w:val="28"/>
          <w:szCs w:val="28"/>
        </w:rPr>
        <w:t xml:space="preserve">8 годов</w:t>
      </w:r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 w:after="0" w:line="240" w:lineRule="auto"/>
        <w:ind w:right="5102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numPr>
          <w:ilvl w:val="0"/>
          <w:numId w:val="10"/>
        </w:numPr>
        <w:pBdr/>
        <w:tabs>
          <w:tab w:val="left" w:leader="none" w:pos="851"/>
          <w:tab w:val="left" w:leader="none" w:pos="1134"/>
        </w:tabs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твердить прилагаемые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ормативы для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</w:t>
      </w:r>
      <w:r>
        <w:rPr>
          <w:rFonts w:ascii="Times New Roman" w:hAnsi="Times New Roman"/>
          <w:sz w:val="28"/>
          <w:szCs w:val="28"/>
        </w:rPr>
        <w:t xml:space="preserve"> дневного рациона 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обучающимся по программам подготовки квалифицированных рабочих, служащих по очной форме обучения на базе основного общего образования в профессиональных образовательных организациях и образовательных организациях высшего образования</w:t>
      </w:r>
      <w:r>
        <w:rPr>
          <w:rFonts w:ascii="Times New Roman" w:hAnsi="Times New Roman"/>
          <w:sz w:val="28"/>
          <w:szCs w:val="28"/>
        </w:rPr>
        <w:t xml:space="preserve"> за счет средств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дневного рациона питания </w:t>
      </w:r>
      <w:r>
        <w:rPr>
          <w:rFonts w:ascii="Times New Roman" w:hAnsi="Times New Roman"/>
          <w:sz w:val="28"/>
          <w:szCs w:val="28"/>
        </w:rPr>
        <w:t xml:space="preserve">обучающимся училища олимпийского резерва исходя из суточного рациона, величины энергозатрат в зависимости от вида спорта и калорийности продуктов питания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Рекомендовать образовательным организациям при определении размеров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 xml:space="preserve">социальных стипендий, назначаемых студентам, являющимся </w:t>
      </w:r>
      <w:r>
        <w:rPr>
          <w:rFonts w:ascii="Times New Roman" w:hAnsi="Times New Roman"/>
          <w:sz w:val="28"/>
          <w:szCs w:val="28"/>
        </w:rPr>
        <w:t xml:space="preserve">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</w:t>
      </w:r>
      <w:r>
        <w:rPr>
          <w:rFonts w:ascii="Times New Roman" w:hAnsi="Times New Roman"/>
          <w:sz w:val="28"/>
          <w:szCs w:val="28"/>
        </w:rPr>
        <w:t xml:space="preserve">детьми-инвалидами, инвалидами I и II групп, инвалидами с детства, студентам, подвергшимся воздействию радиации вследствие катастрофы на Черн</w:t>
      </w:r>
      <w:r>
        <w:rPr>
          <w:rFonts w:ascii="Times New Roman" w:hAnsi="Times New Roman"/>
          <w:sz w:val="28"/>
          <w:szCs w:val="28"/>
        </w:rPr>
        <w:t xml:space="preserve">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</w:t>
      </w:r>
      <w:r>
        <w:rPr>
          <w:rFonts w:ascii="Times New Roman" w:hAnsi="Times New Roman"/>
          <w:sz w:val="28"/>
          <w:szCs w:val="28"/>
        </w:rPr>
        <w:t xml:space="preserve">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r>
        <w:fldChar w:fldCharType="begin"/>
      </w:r>
      <w:r>
        <w:instrText xml:space="preserve"> HYPERLINK "consultantplus://offline/ref=D71C165BFED59AFB980A28C766C872523B496B13C8DF78A7DE7D00659E32567937028D51E9D1D73Dw828I"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подпунктами «б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» - </w:t>
      </w:r>
      <w:r>
        <w:fldChar w:fldCharType="begin"/>
      </w:r>
      <w:r>
        <w:instrText xml:space="preserve"> HYPERLINK "consultantplus://offline/ref=D71C165BFED59AFB980A28C766C872523B496B13C8DF78A7DE7D00659E32567937028D51E9D1D432w829I"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«г» пункта 1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"consultantplus://offline/ref=D71C165BFED59AFB980A28C766C872523B496B13C8DF78A7DE7D00659E32567937028D51E9D1D73Dw820I"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подпунктом «а» пункта 2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"consultantplus://offline/ref=D71C165BFED59AFB980A28C766C872523B496B13C8DF78A7DE7D00659E32567937028D51E9D1D73Cw82CI"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подпунктами «а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» - </w:t>
      </w:r>
      <w:r>
        <w:fldChar w:fldCharType="begin"/>
      </w:r>
      <w:r>
        <w:instrText xml:space="preserve"> HYPERLINK "consultantplus://offline/ref=D71C165BFED59AFB980A28C766C872523B496B13C8DF78A7DE7D00659E32567937028D51E9D1D73Cw82EI"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«в» пункта 3 статьи 51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28 марта 1998 года № 53-ФЗ «О воинской обязанности и военной службе», студентам, получившим государственную социальную помощь, применять повышающий коэффициент 1,5 к соответствующим нормативам, установленным </w:t>
      </w:r>
      <w:r>
        <w:rPr>
          <w:rFonts w:ascii="Times New Roman" w:hAnsi="Times New Roman"/>
          <w:sz w:val="28"/>
          <w:szCs w:val="28"/>
        </w:rPr>
        <w:t xml:space="preserve">абзацем 2 </w:t>
      </w:r>
      <w:r>
        <w:fldChar w:fldCharType="begin"/>
      </w:r>
      <w:r>
        <w:instrText xml:space="preserve"> HYPERLINK "consultantplus://offline/ref=D71C165BFED59AFB980A36CA70A42F5D31433116C2D172F083225B38C93B5C2E704DD413ADDCD33B893B10wA2AI"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настоящего постановления.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16.09.2024 № 795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</w:t>
      </w:r>
      <w:r>
        <w:rPr>
          <w:rFonts w:ascii="Times New Roman" w:hAnsi="Times New Roman"/>
          <w:sz w:val="28"/>
          <w:szCs w:val="28"/>
        </w:rPr>
        <w:t xml:space="preserve">о образования, получающих образование за счет средств бюджета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42"/>
        <w:numPr>
          <w:ilvl w:val="0"/>
          <w:numId w:val="9"/>
        </w:numPr>
        <w:pBdr/>
        <w:tabs>
          <w:tab w:val="left" w:leader="none" w:pos="1134"/>
        </w:tabs>
        <w:spacing w:after="0" w:line="288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января 2026 г</w:t>
      </w:r>
      <w:r>
        <w:rPr>
          <w:rFonts w:ascii="Times New Roman" w:hAnsi="Times New Roman"/>
          <w:sz w:val="28"/>
          <w:szCs w:val="28"/>
        </w:rPr>
        <w:t xml:space="preserve">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</w:tabs>
        <w:spacing w:after="0" w:line="288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 w:after="0" w:line="288" w:lineRule="auto"/>
        <w:ind/>
        <w:contextualSpacing w:val="true"/>
        <w:jc w:val="both"/>
        <w:rPr>
          <w:b/>
          <w:bCs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А.В.Песошин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pStyle w:val="1038"/>
        <w:pBdr/>
        <w:spacing w:after="0" w:line="288" w:lineRule="auto"/>
        <w:ind/>
        <w:contextualSpacing w:val="true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38"/>
        <w:pBdr/>
        <w:spacing w:after="0" w:line="288" w:lineRule="auto"/>
        <w:ind/>
        <w:contextualSpacing w:val="true"/>
        <w:jc w:val="both"/>
        <w:rPr>
          <w:b/>
          <w:bCs/>
        </w:rPr>
        <w:sectPr>
          <w:headerReference w:type="default" r:id="rId9"/>
          <w:headerReference w:type="even" r:id="rId10"/>
          <w:headerReference w:type="first" r:id="rId11"/>
          <w:footerReference w:type="default" r:id="rId19"/>
          <w:footerReference w:type="even" r:id="rId20"/>
          <w:footerReference w:type="first" r:id="rId21"/>
          <w:footnotePr/>
          <w:endnotePr/>
          <w:type w:val="nextPage"/>
          <w:pgSz w:h="16838" w:orient="portrait" w:w="11906"/>
          <w:pgMar w:top="1134" w:right="850" w:bottom="1134" w:left="1701" w:header="709" w:footer="709" w:gutter="0"/>
          <w:pgNumType w:start="1"/>
          <w:cols w:num="1" w:sep="0" w:space="708" w:equalWidth="1"/>
          <w:titlePg/>
        </w:sect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2025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ОРМАТИВЫ ДЛЯ 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СТИПЕНДИАЛЬНОГО ФОНДА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БЮДЖЕТНЫХ АССИГНОВАНИЙ 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jc w:val="center"/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58"/>
        <w:gridCol w:w="1541"/>
        <w:gridCol w:w="1511"/>
        <w:gridCol w:w="1596"/>
        <w:gridCol w:w="1472"/>
      </w:tblGrid>
      <w:tr>
        <w:trPr>
          <w:trHeight w:val="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норматива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Размер норматива, рублей в месяц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обучающегося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сентября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сентября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сентября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сентября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8" w:type="dxa"/>
            <w:vAlign w:val="center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формирования стипендиального фонда для выплаты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аспирантам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ординаторам, ассистентам-стажерам образовательных организаций высшего образования, обучающимся по программам подготовки научно-педагогических кадров, ординатуры, ассистентуры-стажировки по очной форме обучения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093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3 217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3 346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3480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формирования стипендиального фонда для выплаты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академическ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студентам образовательных организаций высшего образования, обучающимся по программам бакалавриата, программам специалитета, программам магистратуры по очной форме обучения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263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2 354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2 448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2546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формирования стипендиального фонда для выплаты 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академическ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студентам профессиональных образовательных организаций и образовательных организаций высшего образования, обучающимся по программам подготовки специалистов среднего звена по очной форме обучения за счет средств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Татарстан, студентам профессиональных образовательных организаций, обучающимся по программам подготовки квалифицированных рабочих, служащих по очной форме обучения на базе среднего общего образования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824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857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формирования стипендиального фонда для выплаты государственной академической стипендии, государственной социальной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студентам профессиональных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бразовательных организаций и образовательных организаций высшего образования, обучающимся по программам подготовки квалифицированных рабочих, служащих по очной форме обучения на базе основного общего образования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590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665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8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формирования стипендиального фонда для выплаты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аспирантам государственных учреждений сферы научных исследований и разработок, обучающимся по программе подготовки научно-педагогических кадров по очной форме обучения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384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8 719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9 068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9431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  <w:sectPr>
          <w:headerReference w:type="default" r:id="rId12"/>
          <w:headerReference w:type="first" r:id="rId13"/>
          <w:footerReference w:type="default" r:id="rId22"/>
          <w:footerReference w:type="first" r:id="rId23"/>
          <w:footnotePr/>
          <w:endnotePr/>
          <w:type w:val="nextPage"/>
          <w:pgSz w:h="11906" w:orient="landscape" w:w="16838"/>
          <w:pgMar w:top="1701" w:right="1134" w:bottom="850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2025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</w:t>
      </w:r>
      <w:r>
        <w:rPr>
          <w:rFonts w:ascii="Times New Roman" w:hAnsi="Times New Roman"/>
          <w:sz w:val="28"/>
          <w:szCs w:val="28"/>
        </w:rPr>
        <w:t xml:space="preserve">ТОИМОСТЬ</w:t>
      </w:r>
      <w:r>
        <w:rPr>
          <w:rFonts w:ascii="Times New Roman" w:hAnsi="Times New Roman"/>
          <w:sz w:val="28"/>
          <w:szCs w:val="28"/>
        </w:rPr>
        <w:t xml:space="preserve"> ДНЕВНОГО РАЦИОНА 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СЯ ПО ПРОГРАММАМ ПОДГОТОВКИ КВАЛИФИЦИРОВАННЫХ РАБОЧИХ, СЛУЖАЩИХ ПО ОЧНОЙ ФОРМЕ ОБУЧЕНИЯ НА БАЗЕ ОСНОВНОГО ОБЩЕГО ОБРАЗОВАНИЯ В ПРОФЕССИОНАЛЬНЫХ ОБРАЗОВАТЕЛЬНЫХ ОРГАНИЗАЦИЯХ И ОБРАЗОВАТЕЛЬНЫХ ОРГАНИЗАЦИЯХ ВЫСШЕГО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ЗА СЧЕТ СРЕДСТВ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31"/>
        <w:gridCol w:w="1701"/>
        <w:gridCol w:w="1559"/>
        <w:gridCol w:w="1495"/>
      </w:tblGrid>
      <w:tr>
        <w:trPr>
          <w:trHeight w:val="8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1" w:type="dxa"/>
            <w:vAlign w:val="center"/>
            <w:vMerge w:val="restart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5" w:type="dxa"/>
            <w:vAlign w:val="center"/>
            <w:textDirection w:val="lrTb"/>
            <w:noWrap w:val="false"/>
          </w:tcPr>
          <w:p>
            <w:pPr>
              <w:pStyle w:val="1045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рублей в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1" w:type="dxa"/>
            <w:vAlign w:val="center"/>
            <w:vMerge w:val="continue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Стоимость дневного рациона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питания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бучающ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программам подготовки квалифицированных рабочих, служащих по очной форме обучения на базе основного общего образования в профессиональных образовательных организациях и образовательных организациях высшего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88,19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91,72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" w:type="dxa"/>
            <w:vAlign w:val="top"/>
            <w:textDirection w:val="lrTb"/>
            <w:noWrap w:val="false"/>
          </w:tcPr>
          <w:p>
            <w:pPr>
              <w:pStyle w:val="104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95,39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709" w:left="0"/>
        <w:jc w:val="center"/>
        <w:rPr>
          <w:rFonts w:ascii="Times New Roman" w:hAnsi="Times New Roman"/>
          <w:sz w:val="28"/>
          <w:szCs w:val="28"/>
        </w:rPr>
        <w:sectPr>
          <w:headerReference w:type="default" r:id="rId14"/>
          <w:headerReference w:type="first" r:id="rId15"/>
          <w:footnotePr/>
          <w:endnotePr/>
          <w:type w:val="nextPage"/>
          <w:pgSz w:h="11906" w:orient="landscape" w:w="16838"/>
          <w:pgMar w:top="1701" w:right="1134" w:bottom="850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2"/>
        <w:pBdr/>
        <w:tabs>
          <w:tab w:val="left" w:leader="none" w:pos="851"/>
          <w:tab w:val="left" w:leader="none" w:pos="1134"/>
        </w:tabs>
        <w:spacing w:after="0" w:line="288" w:lineRule="auto"/>
        <w:ind w:firstLine="851" w:left="118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№ 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ДНЕВНОГО РАЦИОНА ПИТАНИЯ ОБУЧАЮЩИХСЯ УЧИЛИЩА ОЛИМПИЙСКОГО РЕЗЕРВА ИСХОДЯ ИЗ СУТОЧНОГО РАЦИОНА, ВЕЛИЧИНЫ ЭНЕРГОЗАТРАТ В ЗАВИСИМОСТИ ОТ ВИДА СПОРТА И КАЛОРИЙНОСТИ ПРОДУ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ТОВ 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40" w:lineRule="auto"/>
        <w:ind w:right="-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108" w:type="dxa"/>
        <w:tblW w:w="15073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673"/>
        <w:gridCol w:w="2647"/>
        <w:gridCol w:w="1084"/>
        <w:gridCol w:w="1327"/>
        <w:gridCol w:w="960"/>
        <w:gridCol w:w="133"/>
        <w:gridCol w:w="1161"/>
        <w:gridCol w:w="128"/>
        <w:gridCol w:w="1081"/>
        <w:gridCol w:w="1039"/>
        <w:gridCol w:w="261"/>
        <w:gridCol w:w="458"/>
        <w:gridCol w:w="1081"/>
        <w:gridCol w:w="10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видов спорта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спорта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Энерго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затраты, ккал *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показателя, рублей в день на одного обучающегося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9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3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0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9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Стоимость дневного рациона питания обучающегося училища олимпийского резерва исходя из суточного рациона, величины энергозатрат в зависимости от вида спорта и калорийности продуктов питания за счет средств бюджета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спорта, связанные с кратковреме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ными, но зн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чительными физ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ческими нагру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Акробатика (спортивная), бадминтон, горнолыжный спорт, гимнастика (спо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тивная, художественная), конный спорт, легкая атлетика (барьерный бег, мет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ния, пры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ки, спринт), парусный спорт, плавание синхро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ное, прыжки на батуте, прыжки в воду, прыжки на лыжах с трамплина, санный спорт, сноуборд, стрельба (из лука,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левая, стендовая), теннис настол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ный, фехтование, фигурное катание, фристайл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564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598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698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спорта, характериз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ющиеся бол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шим объемом и интенсивн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стью физич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нагрузки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Бокс, борьба (вольная, греко-римская, дзюдо, самбо), волейбол, пляжный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лейбол, водное поло, гандбол, гребной слалом, легкая атлетика (бег на 400, 1500, 3000 м), спортивные игры (баске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бол, волейбол), софтбол, тяжелая атл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тика, футбол, хоккей на траве, 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кей с мячом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797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862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5 500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852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886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restart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спорта, связанные с длительными и напряженными физическими нагрузками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restart"/>
            <w:textDirection w:val="lrTb"/>
            <w:noWrap w:val="false"/>
          </w:tcPr>
          <w:p>
            <w:pPr>
              <w:pStyle w:val="104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гребля (академическая, на байдарках и каноэ), биатлон, велогонки на шоссе, конькобежный спорт (многоборье), лыжное двоеборье, лыжные гонки,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вание, современное пятиборье, триа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797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862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852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886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3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7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0" w:type="dxa"/>
            <w:vAlign w:val="top"/>
            <w:vMerge w:val="continue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1059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73" w:type="dxa"/>
            <w:vAlign w:val="top"/>
            <w:textDirection w:val="lrTb"/>
            <w:noWrap w:val="false"/>
          </w:tcPr>
          <w:p>
            <w:pPr>
              <w:pStyle w:val="1038"/>
              <w:pBdr/>
              <w:tabs>
                <w:tab w:val="left" w:leader="none" w:pos="-851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Величина калорийности суточного рациона питания определяется медицинским персоналом училища олимпийского резерва в зависимости от цикла уче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но-тренировочной нагрузки обучающегося.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1038"/>
        <w:pBdr/>
        <w:tabs>
          <w:tab w:val="left" w:leader="none" w:pos="-851"/>
        </w:tabs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8"/>
        <w:pBdr/>
        <w:spacing w:after="0" w:line="240" w:lineRule="auto"/>
        <w:ind w:right="-57" w:left="-426"/>
        <w:rPr>
          <w:rFonts w:ascii="Times New Roman" w:hAnsi="Times New Roman"/>
          <w:sz w:val="18"/>
          <w:szCs w:val="18"/>
        </w:rPr>
        <w:sectPr>
          <w:headerReference w:type="default" r:id="rId16"/>
          <w:headerReference w:type="first" r:id="rId17"/>
          <w:footnotePr/>
          <w:endnotePr/>
          <w:type w:val="nextPage"/>
          <w:pgSz w:h="11906" w:orient="landscape" w:w="16838"/>
          <w:pgMar w:top="1701" w:right="1134" w:bottom="850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1038"/>
        <w:pBdr/>
        <w:tabs>
          <w:tab w:val="left" w:leader="none" w:pos="-851"/>
        </w:tabs>
        <w:spacing w:after="0" w:line="281" w:lineRule="auto"/>
        <w:ind w:right="-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81" w:lineRule="auto"/>
        <w:ind w:right="-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38"/>
        <w:pBdr/>
        <w:tabs>
          <w:tab w:val="left" w:leader="none" w:pos="-851"/>
        </w:tabs>
        <w:spacing w:after="0" w:line="281" w:lineRule="auto"/>
        <w:ind w:right="-57"/>
        <w:jc w:val="center"/>
        <w:rPr>
          <w:rFonts w:ascii="Times New Roman" w:hAnsi="Times New Roman"/>
          <w:b/>
          <w:bCs/>
          <w:strike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Об установлении нормативов для формирования стипендиального фонда за счет бюджетных </w:t>
      </w:r>
      <w:r>
        <w:rPr>
          <w:rFonts w:ascii="Times New Roman" w:hAnsi="Times New Roman"/>
          <w:b/>
          <w:bCs/>
          <w:sz w:val="28"/>
          <w:szCs w:val="28"/>
        </w:rPr>
        <w:t xml:space="preserve">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высшего образования, получающих образование за счет средств бюджета Республики Татарстан, </w:t>
      </w:r>
      <w:r>
        <w:rPr>
          <w:rFonts w:ascii="Times New Roman" w:hAnsi="Times New Roman"/>
          <w:b/>
          <w:bCs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trike/>
          <w:sz w:val="28"/>
          <w:szCs w:val="28"/>
        </w:rPr>
      </w:r>
      <w:r>
        <w:rPr>
          <w:rFonts w:ascii="Times New Roman" w:hAnsi="Times New Roman"/>
          <w:b/>
          <w:bCs/>
          <w:strike/>
          <w:sz w:val="28"/>
          <w:szCs w:val="28"/>
        </w:rPr>
      </w:r>
    </w:p>
    <w:p>
      <w:pPr>
        <w:pStyle w:val="1038"/>
        <w:pBdr/>
        <w:spacing w:line="281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2"/>
        <w:pBdr/>
        <w:spacing w:line="281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установлении нормативов для формирования стипендиального фонда за счет бюджетных ассигн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высшего образования, получающих образование за счет средств бюджета Республики Татарстан, на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год и на плановый период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 и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 годов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разработан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бюджетным учреждением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«Центр экономических и социальных исследований Республики Татарстан при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бинете Министров Республики Татарстан»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распоряжени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.12.202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2996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52"/>
        <w:pBdr/>
        <w:spacing w:line="281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устанавливаются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нормативы для формирования стипендиального фонда за счет бюджетных ассигнований бюджета Республики Татарстан и стоимости дневного рациона питания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профессиональных образовательных организаций и образовательных организаций высшего образования, получающих образование за счет средств бюджета Республики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Татарстан,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2026 год и на плановый период 2027 и 2028 годов.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52"/>
        <w:pBdr/>
        <w:spacing w:line="281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Расходы, связанные с предоставлением стипендий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питания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обучающимся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фессиональных образовательных организаций и образовательных организаций 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шего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предусмотрены в проекте бюджета Республики Татарстан на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на плановый период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 и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 годов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содержание 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профессиональных образовательных организ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ций и образовательных организаций высшего обр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52"/>
        <w:pBdr/>
        <w:spacing w:line="281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тельных средств из бюджета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02"/>
        <w:pBdr/>
        <w:spacing w:after="0" w:line="281" w:lineRule="auto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ения Кабинета Министров Республики Татарстан.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1002"/>
        <w:pBdr/>
        <w:spacing w:after="0" w:line="281" w:lineRule="auto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sectPr>
      <w:headerReference w:type="default" r:id="rId18"/>
      <w:footerReference w:type="first" r:id="rId24"/>
      <w:footnotePr/>
      <w:endnotePr/>
      <w:type w:val="nextPage"/>
      <w:pgSz w:h="16838" w:orient="portrait" w:w="11906"/>
      <w:pgMar w:top="1134" w:right="567" w:bottom="1134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 w:right="-1" w:firstLine="6095"/>
      <w:jc w:val="right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 w:right="-1" w:firstLine="6095"/>
      <w:jc w:val="right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3"/>
      <w:pBdr/>
      <w:spacing/>
      <w:ind/>
      <w:rPr/>
    </w:pP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3"/>
      <w:pBdr/>
      <w:spacing/>
      <w:ind/>
      <w:rPr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jc w:val="left"/>
      <w:rPr/>
    </w:pPr>
    <w:r/>
    <w:r/>
  </w:p>
  <w:p>
    <w:pPr>
      <w:pStyle w:val="1013"/>
      <w:pBdr/>
      <w:spacing/>
      <w:ind/>
      <w:rPr/>
    </w:pP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3"/>
      <w:pBdr/>
      <w:spacing/>
      <w:ind/>
      <w:rPr/>
    </w:pP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3"/>
      <w:pBdr/>
      <w:spacing/>
      <w:ind/>
      <w:rPr/>
    </w:pP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pBdr/>
      <w:spacing/>
      <w:ind/>
      <w:rPr/>
    </w:pP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495"/>
      </w:pPr>
      <w:rPr>
        <w:strike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85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21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215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5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935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93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3295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Table Grid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Table Grid Light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1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2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2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3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5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6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Heading 1"/>
    <w:basedOn w:val="1038"/>
    <w:next w:val="1038"/>
    <w:link w:val="9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7">
    <w:name w:val="Heading 2"/>
    <w:basedOn w:val="1038"/>
    <w:next w:val="1038"/>
    <w:link w:val="9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8">
    <w:name w:val="Heading 3"/>
    <w:basedOn w:val="1038"/>
    <w:next w:val="1038"/>
    <w:link w:val="9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9">
    <w:name w:val="Heading 4"/>
    <w:basedOn w:val="1038"/>
    <w:next w:val="1038"/>
    <w:link w:val="9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80">
    <w:name w:val="Heading 5"/>
    <w:basedOn w:val="1038"/>
    <w:next w:val="1038"/>
    <w:link w:val="9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81">
    <w:name w:val="Heading 6"/>
    <w:basedOn w:val="1038"/>
    <w:next w:val="1038"/>
    <w:link w:val="9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2">
    <w:name w:val="Heading 7"/>
    <w:basedOn w:val="1038"/>
    <w:next w:val="1038"/>
    <w:link w:val="9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3">
    <w:name w:val="Heading 8"/>
    <w:basedOn w:val="1038"/>
    <w:next w:val="1038"/>
    <w:link w:val="9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4">
    <w:name w:val="Heading 9"/>
    <w:basedOn w:val="1038"/>
    <w:next w:val="1038"/>
    <w:link w:val="9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default="1">
    <w:name w:val="Default Paragraph Font"/>
    <w:uiPriority w:val="1"/>
    <w:semiHidden/>
    <w:unhideWhenUsed/>
    <w:pPr>
      <w:pBdr/>
      <w:spacing/>
      <w:ind/>
    </w:pPr>
  </w:style>
  <w:style w:type="numbering" w:styleId="986" w:default="1">
    <w:name w:val="No List"/>
    <w:uiPriority w:val="99"/>
    <w:semiHidden/>
    <w:unhideWhenUsed/>
    <w:pPr>
      <w:pBdr/>
      <w:spacing/>
      <w:ind/>
    </w:pPr>
  </w:style>
  <w:style w:type="character" w:styleId="987">
    <w:name w:val="Heading 1 Char"/>
    <w:basedOn w:val="985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8">
    <w:name w:val="Heading 2 Char"/>
    <w:basedOn w:val="985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9">
    <w:name w:val="Heading 3 Char"/>
    <w:basedOn w:val="985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0">
    <w:name w:val="Heading 4 Char"/>
    <w:basedOn w:val="985"/>
    <w:link w:val="9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1">
    <w:name w:val="Heading 5 Char"/>
    <w:basedOn w:val="985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2">
    <w:name w:val="Heading 6 Char"/>
    <w:basedOn w:val="98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3">
    <w:name w:val="Heading 7 Char"/>
    <w:basedOn w:val="985"/>
    <w:link w:val="9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4">
    <w:name w:val="Heading 8 Char"/>
    <w:basedOn w:val="985"/>
    <w:link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5">
    <w:name w:val="Heading 9 Char"/>
    <w:basedOn w:val="985"/>
    <w:link w:val="9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6">
    <w:name w:val="Title"/>
    <w:basedOn w:val="1038"/>
    <w:next w:val="1038"/>
    <w:link w:val="9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7">
    <w:name w:val="Title Char"/>
    <w:basedOn w:val="985"/>
    <w:link w:val="9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8">
    <w:name w:val="Subtitle"/>
    <w:basedOn w:val="1038"/>
    <w:next w:val="1038"/>
    <w:link w:val="9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99">
    <w:name w:val="Subtitle Char"/>
    <w:basedOn w:val="985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0">
    <w:name w:val="Quote"/>
    <w:basedOn w:val="1038"/>
    <w:next w:val="1038"/>
    <w:link w:val="10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1">
    <w:name w:val="Quote Char"/>
    <w:basedOn w:val="985"/>
    <w:link w:val="100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02">
    <w:name w:val="List Paragraph"/>
    <w:basedOn w:val="1038"/>
    <w:uiPriority w:val="34"/>
    <w:qFormat/>
    <w:pPr>
      <w:pBdr/>
      <w:spacing/>
      <w:ind w:left="720"/>
      <w:contextualSpacing w:val="true"/>
    </w:pPr>
  </w:style>
  <w:style w:type="character" w:styleId="1003">
    <w:name w:val="Intense Emphasis"/>
    <w:basedOn w:val="9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4">
    <w:name w:val="Intense Quote"/>
    <w:basedOn w:val="1038"/>
    <w:next w:val="1038"/>
    <w:link w:val="10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5">
    <w:name w:val="Intense Quote Char"/>
    <w:basedOn w:val="985"/>
    <w:link w:val="100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6">
    <w:name w:val="Intense Reference"/>
    <w:basedOn w:val="9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7">
    <w:name w:val="No Spacing"/>
    <w:basedOn w:val="1038"/>
    <w:uiPriority w:val="1"/>
    <w:qFormat/>
    <w:pPr>
      <w:pBdr/>
      <w:spacing w:after="0" w:line="240" w:lineRule="auto"/>
      <w:ind/>
    </w:pPr>
  </w:style>
  <w:style w:type="character" w:styleId="1008">
    <w:name w:val="Subtle Emphasis"/>
    <w:basedOn w:val="9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9">
    <w:name w:val="Emphasis"/>
    <w:basedOn w:val="985"/>
    <w:uiPriority w:val="20"/>
    <w:qFormat/>
    <w:pPr>
      <w:pBdr/>
      <w:spacing/>
      <w:ind/>
    </w:pPr>
    <w:rPr>
      <w:i/>
      <w:iCs/>
    </w:rPr>
  </w:style>
  <w:style w:type="character" w:styleId="1010">
    <w:name w:val="Strong"/>
    <w:basedOn w:val="985"/>
    <w:uiPriority w:val="22"/>
    <w:qFormat/>
    <w:pPr>
      <w:pBdr/>
      <w:spacing/>
      <w:ind/>
    </w:pPr>
    <w:rPr>
      <w:b/>
      <w:bCs/>
    </w:rPr>
  </w:style>
  <w:style w:type="character" w:styleId="1011">
    <w:name w:val="Subtle Reference"/>
    <w:basedOn w:val="9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2">
    <w:name w:val="Book Title"/>
    <w:basedOn w:val="9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3">
    <w:name w:val="Header"/>
    <w:basedOn w:val="1038"/>
    <w:link w:val="10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14">
    <w:name w:val="Header Char"/>
    <w:basedOn w:val="985"/>
    <w:link w:val="1013"/>
    <w:uiPriority w:val="99"/>
    <w:pPr>
      <w:pBdr/>
      <w:spacing/>
      <w:ind/>
    </w:pPr>
  </w:style>
  <w:style w:type="paragraph" w:styleId="1015">
    <w:name w:val="Footer"/>
    <w:basedOn w:val="1038"/>
    <w:link w:val="101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16">
    <w:name w:val="Footer Char"/>
    <w:basedOn w:val="985"/>
    <w:link w:val="1015"/>
    <w:uiPriority w:val="99"/>
    <w:pPr>
      <w:pBdr/>
      <w:spacing/>
      <w:ind/>
    </w:pPr>
  </w:style>
  <w:style w:type="paragraph" w:styleId="1017">
    <w:name w:val="Caption"/>
    <w:basedOn w:val="1038"/>
    <w:next w:val="10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8">
    <w:name w:val="footnote text"/>
    <w:basedOn w:val="1038"/>
    <w:link w:val="10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9">
    <w:name w:val="Footnote Text Char"/>
    <w:basedOn w:val="985"/>
    <w:link w:val="1018"/>
    <w:uiPriority w:val="99"/>
    <w:semiHidden/>
    <w:pPr>
      <w:pBdr/>
      <w:spacing/>
      <w:ind/>
    </w:pPr>
    <w:rPr>
      <w:sz w:val="20"/>
      <w:szCs w:val="20"/>
    </w:rPr>
  </w:style>
  <w:style w:type="character" w:styleId="1020">
    <w:name w:val="footnote reference"/>
    <w:basedOn w:val="985"/>
    <w:uiPriority w:val="99"/>
    <w:semiHidden/>
    <w:unhideWhenUsed/>
    <w:pPr>
      <w:pBdr/>
      <w:spacing/>
      <w:ind/>
    </w:pPr>
    <w:rPr>
      <w:vertAlign w:val="superscript"/>
    </w:rPr>
  </w:style>
  <w:style w:type="paragraph" w:styleId="1021">
    <w:name w:val="endnote text"/>
    <w:basedOn w:val="1038"/>
    <w:link w:val="10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2">
    <w:name w:val="Endnote Text Char"/>
    <w:basedOn w:val="985"/>
    <w:link w:val="1021"/>
    <w:uiPriority w:val="99"/>
    <w:semiHidden/>
    <w:pPr>
      <w:pBdr/>
      <w:spacing/>
      <w:ind/>
    </w:pPr>
    <w:rPr>
      <w:sz w:val="20"/>
      <w:szCs w:val="20"/>
    </w:rPr>
  </w:style>
  <w:style w:type="character" w:styleId="1023">
    <w:name w:val="endnote reference"/>
    <w:basedOn w:val="985"/>
    <w:uiPriority w:val="99"/>
    <w:semiHidden/>
    <w:unhideWhenUsed/>
    <w:pPr>
      <w:pBdr/>
      <w:spacing/>
      <w:ind/>
    </w:pPr>
    <w:rPr>
      <w:vertAlign w:val="superscript"/>
    </w:rPr>
  </w:style>
  <w:style w:type="character" w:styleId="1024">
    <w:name w:val="Hyperlink"/>
    <w:basedOn w:val="9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25">
    <w:name w:val="FollowedHyperlink"/>
    <w:basedOn w:val="9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6">
    <w:name w:val="toc 1"/>
    <w:basedOn w:val="1038"/>
    <w:next w:val="1038"/>
    <w:uiPriority w:val="39"/>
    <w:unhideWhenUsed/>
    <w:pPr>
      <w:pBdr/>
      <w:spacing w:after="100"/>
      <w:ind/>
    </w:pPr>
  </w:style>
  <w:style w:type="paragraph" w:styleId="1027">
    <w:name w:val="toc 2"/>
    <w:basedOn w:val="1038"/>
    <w:next w:val="1038"/>
    <w:uiPriority w:val="39"/>
    <w:unhideWhenUsed/>
    <w:pPr>
      <w:pBdr/>
      <w:spacing w:after="100"/>
      <w:ind w:left="220"/>
    </w:pPr>
  </w:style>
  <w:style w:type="paragraph" w:styleId="1028">
    <w:name w:val="toc 3"/>
    <w:basedOn w:val="1038"/>
    <w:next w:val="1038"/>
    <w:uiPriority w:val="39"/>
    <w:unhideWhenUsed/>
    <w:pPr>
      <w:pBdr/>
      <w:spacing w:after="100"/>
      <w:ind w:left="440"/>
    </w:pPr>
  </w:style>
  <w:style w:type="paragraph" w:styleId="1029">
    <w:name w:val="toc 4"/>
    <w:basedOn w:val="1038"/>
    <w:next w:val="1038"/>
    <w:uiPriority w:val="39"/>
    <w:unhideWhenUsed/>
    <w:pPr>
      <w:pBdr/>
      <w:spacing w:after="100"/>
      <w:ind w:left="660"/>
    </w:pPr>
  </w:style>
  <w:style w:type="paragraph" w:styleId="1030">
    <w:name w:val="toc 5"/>
    <w:basedOn w:val="1038"/>
    <w:next w:val="1038"/>
    <w:uiPriority w:val="39"/>
    <w:unhideWhenUsed/>
    <w:pPr>
      <w:pBdr/>
      <w:spacing w:after="100"/>
      <w:ind w:left="880"/>
    </w:pPr>
  </w:style>
  <w:style w:type="paragraph" w:styleId="1031">
    <w:name w:val="toc 6"/>
    <w:basedOn w:val="1038"/>
    <w:next w:val="1038"/>
    <w:uiPriority w:val="39"/>
    <w:unhideWhenUsed/>
    <w:pPr>
      <w:pBdr/>
      <w:spacing w:after="100"/>
      <w:ind w:left="1100"/>
    </w:pPr>
  </w:style>
  <w:style w:type="paragraph" w:styleId="1032">
    <w:name w:val="toc 7"/>
    <w:basedOn w:val="1038"/>
    <w:next w:val="1038"/>
    <w:uiPriority w:val="39"/>
    <w:unhideWhenUsed/>
    <w:pPr>
      <w:pBdr/>
      <w:spacing w:after="100"/>
      <w:ind w:left="1320"/>
    </w:pPr>
  </w:style>
  <w:style w:type="paragraph" w:styleId="1033">
    <w:name w:val="toc 8"/>
    <w:basedOn w:val="1038"/>
    <w:next w:val="1038"/>
    <w:uiPriority w:val="39"/>
    <w:unhideWhenUsed/>
    <w:pPr>
      <w:pBdr/>
      <w:spacing w:after="100"/>
      <w:ind w:left="1540"/>
    </w:pPr>
  </w:style>
  <w:style w:type="paragraph" w:styleId="1034">
    <w:name w:val="toc 9"/>
    <w:basedOn w:val="1038"/>
    <w:next w:val="1038"/>
    <w:uiPriority w:val="39"/>
    <w:unhideWhenUsed/>
    <w:pPr>
      <w:pBdr/>
      <w:spacing w:after="100"/>
      <w:ind w:left="1760"/>
    </w:pPr>
  </w:style>
  <w:style w:type="character" w:styleId="1035">
    <w:name w:val="Placeholder Text"/>
    <w:basedOn w:val="985"/>
    <w:uiPriority w:val="99"/>
    <w:semiHidden/>
    <w:pPr>
      <w:pBdr/>
      <w:spacing/>
      <w:ind/>
    </w:pPr>
    <w:rPr>
      <w:color w:val="666666"/>
    </w:rPr>
  </w:style>
  <w:style w:type="paragraph" w:styleId="1036">
    <w:name w:val="TOC Heading"/>
    <w:uiPriority w:val="39"/>
    <w:unhideWhenUsed/>
    <w:pPr>
      <w:pBdr/>
      <w:spacing/>
      <w:ind/>
    </w:pPr>
  </w:style>
  <w:style w:type="paragraph" w:styleId="1037">
    <w:name w:val="table of figures"/>
    <w:basedOn w:val="1038"/>
    <w:next w:val="1038"/>
    <w:uiPriority w:val="99"/>
    <w:unhideWhenUsed/>
    <w:pPr>
      <w:pBdr/>
      <w:spacing w:after="0" w:afterAutospacing="0"/>
      <w:ind/>
    </w:pPr>
  </w:style>
  <w:style w:type="paragraph" w:styleId="1038" w:default="1">
    <w:name w:val="Normal"/>
    <w:next w:val="1038"/>
    <w:link w:val="103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1039">
    <w:name w:val="Основной шрифт абзаца"/>
    <w:next w:val="1039"/>
    <w:link w:val="1038"/>
    <w:uiPriority w:val="1"/>
    <w:unhideWhenUsed/>
    <w:pPr>
      <w:pBdr/>
      <w:spacing/>
      <w:ind/>
    </w:pPr>
  </w:style>
  <w:style w:type="table" w:styleId="1040">
    <w:name w:val="Обычная таблица"/>
    <w:next w:val="1040"/>
    <w:link w:val="103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1">
    <w:name w:val="Нет списка"/>
    <w:next w:val="1041"/>
    <w:link w:val="1038"/>
    <w:uiPriority w:val="99"/>
    <w:semiHidden/>
    <w:unhideWhenUsed/>
    <w:pPr>
      <w:pBdr/>
      <w:spacing/>
      <w:ind/>
    </w:pPr>
  </w:style>
  <w:style w:type="paragraph" w:styleId="1042">
    <w:name w:val="Абзац списка"/>
    <w:basedOn w:val="1038"/>
    <w:next w:val="1042"/>
    <w:link w:val="1038"/>
    <w:uiPriority w:val="99"/>
    <w:qFormat/>
    <w:pPr>
      <w:pBdr/>
      <w:spacing/>
      <w:ind w:left="720"/>
      <w:contextualSpacing w:val="true"/>
    </w:pPr>
    <w:rPr>
      <w:rFonts w:eastAsia="Times New Roman"/>
      <w:lang w:eastAsia="ru-RU"/>
    </w:rPr>
  </w:style>
  <w:style w:type="table" w:styleId="1043">
    <w:name w:val="Сетка таблицы"/>
    <w:basedOn w:val="1040"/>
    <w:next w:val="1043"/>
    <w:link w:val="103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4">
    <w:name w:val="ConsPlusTitle"/>
    <w:next w:val="1044"/>
    <w:link w:val="1038"/>
    <w:uiPriority w:val="99"/>
    <w:pPr>
      <w:pBdr/>
      <w:spacing/>
      <w:ind/>
    </w:pPr>
    <w:rPr>
      <w:rFonts w:ascii="Times New Roman" w:hAnsi="Times New Roman"/>
      <w:b/>
      <w:bCs/>
      <w:sz w:val="28"/>
      <w:szCs w:val="28"/>
      <w:lang w:val="ru-RU" w:eastAsia="en-US" w:bidi="ar-SA"/>
    </w:rPr>
  </w:style>
  <w:style w:type="paragraph" w:styleId="1045">
    <w:name w:val="ConsPlusCell"/>
    <w:next w:val="1045"/>
    <w:link w:val="1038"/>
    <w:uiPriority w:val="99"/>
    <w:pPr>
      <w:pBdr/>
      <w:spacing/>
      <w:ind/>
    </w:pPr>
    <w:rPr>
      <w:rFonts w:ascii="Arial" w:hAnsi="Arial" w:cs="Arial"/>
      <w:lang w:val="ru-RU" w:eastAsia="en-US" w:bidi="ar-SA"/>
    </w:rPr>
  </w:style>
  <w:style w:type="paragraph" w:styleId="1046">
    <w:name w:val="Верхний колонтитул"/>
    <w:basedOn w:val="1038"/>
    <w:next w:val="1046"/>
    <w:link w:val="104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7">
    <w:name w:val="Верхний колонтитул Знак"/>
    <w:basedOn w:val="1039"/>
    <w:next w:val="1047"/>
    <w:link w:val="1046"/>
    <w:uiPriority w:val="99"/>
    <w:pPr>
      <w:pBdr/>
      <w:spacing/>
      <w:ind/>
    </w:pPr>
  </w:style>
  <w:style w:type="paragraph" w:styleId="1048">
    <w:name w:val="Нижний колонтитул"/>
    <w:basedOn w:val="1038"/>
    <w:next w:val="1048"/>
    <w:link w:val="10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9">
    <w:name w:val="Нижний колонтитул Знак"/>
    <w:basedOn w:val="1039"/>
    <w:next w:val="1049"/>
    <w:link w:val="1048"/>
    <w:uiPriority w:val="99"/>
    <w:pPr>
      <w:pBdr/>
      <w:spacing/>
      <w:ind/>
    </w:pPr>
  </w:style>
  <w:style w:type="paragraph" w:styleId="1050">
    <w:name w:val="Текст выноски"/>
    <w:basedOn w:val="1038"/>
    <w:next w:val="1050"/>
    <w:link w:val="105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51">
    <w:name w:val="Текст выноски Знак"/>
    <w:next w:val="1051"/>
    <w:link w:val="105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52" w:customStyle="1">
    <w:name w:val="ConsPlusNormal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footer" Target="footer1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footer" Target="footer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4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mitrofanova</dc:creator>
  <cp:revision>5</cp:revision>
  <dcterms:created xsi:type="dcterms:W3CDTF">2024-08-22T06:11:00Z</dcterms:created>
  <dcterms:modified xsi:type="dcterms:W3CDTF">2025-08-08T09:58:07Z</dcterms:modified>
  <cp:version>1048576</cp:version>
</cp:coreProperties>
</file>