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3686"/>
        </w:tabs>
        <w:spacing w:after="0" w:line="230" w:lineRule="auto"/>
        <w:ind w:right="510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Start w:id="1" w:name="_Hlk2867593"/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14.08.2018 № 665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условиях оплаты труда работников государственных </w:t>
      </w:r>
      <w:r>
        <w:rPr>
          <w:rFonts w:ascii="Times New Roman" w:hAnsi="Times New Roman"/>
          <w:sz w:val="28"/>
          <w:szCs w:val="28"/>
          <w:highlight w:val="none"/>
        </w:rPr>
        <w:t xml:space="preserve">организаций молодежной политики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19"/>
        <w:numPr>
          <w:ilvl w:val="0"/>
          <w:numId w:val="11"/>
        </w:numPr>
        <w:pBdr/>
        <w:tabs>
          <w:tab w:val="left" w:leader="none" w:pos="993"/>
        </w:tabs>
        <w:spacing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14.08.2018 № 665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молодежной политики Республики Татарстан»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21.06.2019 № 505, от 31.01.2020 № 54, от 26.07.2021 № 645, от 30.10.2021 № 1030, от 09.02.2022 № 102, от 01.04.2022 № 304, от 20.06.2022 № 587, от 14.09.2022 № 1002, от 21.02.2023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171, от 16.10.2023 № 1312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434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785,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256)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9"/>
        <w:pBdr/>
        <w:spacing w:after="0" w:line="360" w:lineRule="auto"/>
        <w:ind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bookmarkStart w:id="2" w:name="_Hlk172538856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9"/>
        <w:pBdr/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следующей редакции:</w:t>
      </w:r>
      <w:bookmarkEnd w:id="2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 Определение базовых окладов работников организаций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молодежной политики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/>
    </w:p>
    <w:p>
      <w:pPr>
        <w:pStyle w:val="1019"/>
        <w:pBdr/>
        <w:tabs>
          <w:tab w:val="right" w:leader="none" w:pos="993"/>
        </w:tabs>
        <w:spacing w:line="36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 Базовые оклады работников физической культуры организаций молодежной политики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Ind w:w="-5" w:type="dxa"/>
        <w:tblW w:w="10206" w:type="dxa"/>
        <w:tblBorders/>
        <w:tblLook w:val="04A0" w:firstRow="1" w:lastRow="0" w:firstColumn="1" w:lastColumn="0" w:noHBand="0" w:noVBand="1"/>
        <w:tblStyle w:val="1010"/>
      </w:tblPr>
      <w:tblGrid>
        <w:gridCol w:w="2477"/>
        <w:gridCol w:w="4327"/>
        <w:gridCol w:w="3402"/>
      </w:tblGrid>
      <w:tr>
        <w:trPr>
          <w:tblHeader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2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физической культуры и спорта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976"/>
        </w:trPr>
        <w:tc>
          <w:tcPr>
            <w:tcBorders/>
            <w:tcW w:w="24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Хореограф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26 610</w:t>
            </w:r>
            <w:r>
              <w:rPr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</w:p>
        </w:tc>
      </w:tr>
    </w:tbl>
    <w:p>
      <w:pPr>
        <w:pStyle w:val="1019"/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 Базовые оклады работников образования организаций молодежной политики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Ind w:w="-5" w:type="dxa"/>
        <w:tblW w:w="10206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  <w:tblStyle w:val="1010"/>
      </w:tblPr>
      <w:tblGrid>
        <w:gridCol w:w="2556"/>
        <w:gridCol w:w="4677"/>
        <w:gridCol w:w="2973"/>
      </w:tblGrid>
      <w:tr>
        <w:trPr>
          <w:tblHeader/>
        </w:trPr>
        <w:tc>
          <w:tcPr>
            <w:tcBorders/>
            <w:tcW w:w="255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Theme="majorBidi" w:hAnsiTheme="majorBidi" w:cstheme="majorBidi"/>
          <w:sz w:val="2"/>
          <w:szCs w:val="2"/>
          <w:highlight w:val="none"/>
        </w:rPr>
      </w:pPr>
      <w:r>
        <w:rPr>
          <w:rFonts w:asciiTheme="majorBidi" w:hAnsiTheme="majorBidi" w:cstheme="majorBidi"/>
          <w:sz w:val="2"/>
          <w:szCs w:val="2"/>
          <w:highlight w:val="none"/>
        </w:rPr>
      </w:r>
      <w:r>
        <w:rPr>
          <w:rFonts w:asciiTheme="majorBidi" w:hAnsiTheme="majorBidi" w:cstheme="majorBidi"/>
          <w:sz w:val="2"/>
          <w:szCs w:val="2"/>
          <w:highlight w:val="none"/>
        </w:rPr>
      </w:r>
      <w:r>
        <w:rPr>
          <w:rFonts w:asciiTheme="majorBidi" w:hAnsiTheme="majorBidi" w:cstheme="majorBidi"/>
          <w:sz w:val="2"/>
          <w:szCs w:val="2"/>
          <w:highlight w:val="none"/>
        </w:rPr>
      </w:r>
    </w:p>
    <w:tbl>
      <w:tblPr>
        <w:tblInd w:w="-5" w:type="dxa"/>
        <w:tblW w:w="10206" w:type="dxa"/>
        <w:tblBorders/>
        <w:tblLayout w:type="fixed"/>
        <w:tblLook w:val="04A0" w:firstRow="1" w:lastRow="0" w:firstColumn="1" w:lastColumn="0" w:noHBand="0" w:noVBand="1"/>
        <w:tblStyle w:val="1010"/>
      </w:tblPr>
      <w:tblGrid>
        <w:gridCol w:w="2556"/>
        <w:gridCol w:w="4677"/>
        <w:gridCol w:w="2973"/>
      </w:tblGrid>
      <w:tr>
        <w:trPr>
          <w:tblHeader/>
        </w:trPr>
        <w:tc>
          <w:tcPr>
            <w:tcBorders/>
            <w:tcW w:w="255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976"/>
        </w:trPr>
        <w:tc>
          <w:tcPr>
            <w:tcBorders/>
            <w:tcW w:w="255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Секретарь учебной части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25 960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85"/>
        </w:trPr>
        <w:tc>
          <w:tcPr>
            <w:tcBorders/>
            <w:tcW w:w="2556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Дежурный по режиму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26 090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667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62"/>
        </w:trPr>
        <w:tc>
          <w:tcPr>
            <w:gridSpan w:val="3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должностей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55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тренер-преподаватель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556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27 780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72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60"/>
        </w:trPr>
        <w:tc>
          <w:tcPr>
            <w:tcBorders/>
            <w:tcW w:w="2556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должностей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55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27 830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55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27 890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должности «специалист по работе с молодежью» и «специалист по социальной работе с молодежью», составляет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27 500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 Базовые оклады медицинских работников организаций молодежной политики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Ind w:w="-147" w:type="dxa"/>
        <w:tblW w:w="10348" w:type="dxa"/>
        <w:tblBorders>
          <w:bottom w:val="none" w:color="auto" w:sz="0" w:space="0"/>
        </w:tblBorders>
        <w:tblLook w:val="04A0" w:firstRow="1" w:lastRow="0" w:firstColumn="1" w:lastColumn="0" w:noHBand="0" w:noVBand="1"/>
        <w:tblStyle w:val="1010"/>
      </w:tblPr>
      <w:tblGrid>
        <w:gridCol w:w="2618"/>
        <w:gridCol w:w="4612"/>
        <w:gridCol w:w="3118"/>
      </w:tblGrid>
      <w:tr>
        <w:trPr>
          <w:tblHeader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Theme="majorBidi" w:hAnsiTheme="majorBidi" w:cstheme="majorBidi"/>
          <w:sz w:val="2"/>
          <w:szCs w:val="2"/>
          <w:highlight w:val="none"/>
        </w:rPr>
      </w:pPr>
      <w:r>
        <w:rPr>
          <w:rFonts w:asciiTheme="majorBidi" w:hAnsiTheme="majorBidi" w:cstheme="majorBidi"/>
          <w:sz w:val="2"/>
          <w:szCs w:val="2"/>
          <w:highlight w:val="none"/>
        </w:rPr>
      </w:r>
      <w:r>
        <w:rPr>
          <w:rFonts w:asciiTheme="majorBidi" w:hAnsiTheme="majorBidi" w:cstheme="majorBidi"/>
          <w:sz w:val="2"/>
          <w:szCs w:val="2"/>
          <w:highlight w:val="none"/>
        </w:rPr>
      </w:r>
      <w:r>
        <w:rPr>
          <w:rFonts w:asciiTheme="majorBidi" w:hAnsiTheme="majorBidi" w:cstheme="majorBidi"/>
          <w:sz w:val="2"/>
          <w:szCs w:val="2"/>
          <w:highlight w:val="none"/>
        </w:rPr>
      </w:r>
    </w:p>
    <w:tbl>
      <w:tblPr>
        <w:tblInd w:w="-147" w:type="dxa"/>
        <w:tblW w:w="10348" w:type="dxa"/>
        <w:tblBorders/>
        <w:tblLook w:val="04A0" w:firstRow="1" w:lastRow="0" w:firstColumn="1" w:lastColumn="0" w:noHBand="0" w:noVBand="1"/>
        <w:tblStyle w:val="1010"/>
      </w:tblPr>
      <w:tblGrid>
        <w:gridCol w:w="2618"/>
        <w:gridCol w:w="4612"/>
        <w:gridCol w:w="3118"/>
      </w:tblGrid>
      <w:tr>
        <w:trPr>
          <w:tblHeader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3"/>
            <w:tcBorders/>
            <w:tcW w:w="1034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«Средний медицинский 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1008"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диетическая (медицинский брат диетический)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27 210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95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1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27 760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95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118" w:type="dxa"/>
            <w:vMerge w:val="continue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</w:p>
        </w:tc>
      </w:tr>
      <w:tr>
        <w:trPr>
          <w:trHeight w:val="503"/>
        </w:trPr>
        <w:tc>
          <w:tcPr>
            <w:gridSpan w:val="3"/>
            <w:tcBorders/>
            <w:tcW w:w="10348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«Врачи и провизоры»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987"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1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19"/>
        <w:pBdr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tabs>
          <w:tab w:val="right" w:leader="none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Базовые оклады работников культуры организаций молодежной политики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left="86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Ind w:w="-5" w:type="dxa"/>
        <w:tblW w:w="10206" w:type="dxa"/>
        <w:tblBorders>
          <w:bottom w:val="none" w:color="auto" w:sz="0" w:space="0"/>
        </w:tblBorders>
        <w:tblLook w:val="04A0" w:firstRow="1" w:lastRow="0" w:firstColumn="1" w:lastColumn="0" w:noHBand="0" w:noVBand="1"/>
        <w:tblStyle w:val="1010"/>
      </w:tblPr>
      <w:tblGrid>
        <w:gridCol w:w="7230"/>
        <w:gridCol w:w="2976"/>
      </w:tblGrid>
      <w:tr>
        <w:trPr>
          <w:trHeight w:val="940"/>
          <w:tblHeader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19"/>
        <w:pBdr/>
        <w:spacing/>
        <w:ind/>
        <w:jc w:val="center"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Ind w:w="-5" w:type="dxa"/>
        <w:tblW w:w="10206" w:type="dxa"/>
        <w:tblBorders/>
        <w:tblLook w:val="04A0" w:firstRow="1" w:lastRow="0" w:firstColumn="1" w:lastColumn="0" w:noHBand="0" w:noVBand="1"/>
        <w:tblStyle w:val="1010"/>
      </w:tblPr>
      <w:tblGrid>
        <w:gridCol w:w="7230"/>
        <w:gridCol w:w="2976"/>
      </w:tblGrid>
      <w:tr>
        <w:trPr>
          <w:tblHeader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732"/>
        </w:trPr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«Должности технических исполнителей и артистов вспомогательного состава»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503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Контролер билетов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26 900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695"/>
        </w:trPr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костюмерной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Руководитель кружка, любительского объединения, клуба по интересам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94"/>
        </w:trPr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19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Аккомпаниатор-концертмейстер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Кинооператор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48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Редактор библиотеки, музея 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других аналогичных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Специалист по методике клубной работы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Художник по свету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Художник-декоратор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Художник-оформитель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Художник-фотограф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0"/>
        </w:trPr>
        <w:tc>
          <w:tcPr>
            <w:gridSpan w:val="2"/>
            <w:tcBorders/>
            <w:tcW w:w="10206" w:type="dxa"/>
            <w:textDirection w:val="lrTb"/>
            <w:noWrap w:val="false"/>
          </w:tcPr>
          <w:p>
            <w:pPr>
              <w:pStyle w:val="1019"/>
              <w:pBdr/>
              <w:tabs>
                <w:tab w:val="left" w:leader="none" w:pos="780"/>
              </w:tabs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1716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народной культуры (культуры и досуга) и других аналогичных учреждений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29 320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Звукорежиссер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Режиссер-постановщик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Режиссер (дирижер, балетмейстер, хормейстер)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Режиссер массовых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1"/>
        </w:trPr>
        <w:tc>
          <w:tcPr>
            <w:tcBorders/>
            <w:tcW w:w="72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Художественный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1019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культуры организаций молодежной политики применяется коэффициент приоритета отрасли к базовому окладу.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Размер коэффициента приоритета отрасли составляет: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профессиональной квалификационной группе «Должности технических исполнителей и артистов вспомогательного состава» – 1,05;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профессиональным квалификационным группам «Должности работников культуры, искусства и кинематографии среднего звена» и «Должности работников культуры, искусства и кинематографии ведущего звена» – 1,12;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профессиональной квалификационной группе «Должности руководящего состава учреждений культуры, искусства и кинематографии» – 1,25.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Арт-резиденции «Созвездие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Йолдызлык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государственного бюджетного учреждения «Республиканский центр по поддержке творчески одаренных детей и молодежи «Созвездие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Йолдызлык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базовый оклад работников, занимающих должности «заведующий труппой», «репетитор по вокалу», «артист балета», «артист драмы», «артист симфонического, камерного, эстрадно-симфонического, духового оркестров, оркестра народных инструментов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составляет </w:t>
      </w:r>
      <w:r>
        <w:rPr>
          <w:rFonts w:ascii="Times New Roman" w:hAnsi="Times New Roman" w:eastAsia="Times New Roman" w:cs="Times New Roman"/>
          <w:color w:val="000000"/>
          <w:sz w:val="28"/>
          <w:lang w:val="en-US"/>
        </w:rPr>
        <w:t xml:space="preserve">27 500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должности «главный дирижер», «главный режиссер», «руководитель литературно-драматургической части», «заведующий художественно-постановочной частью», «заведующий музыкальной частью», составляет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36 640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9"/>
        <w:widowControl w:val="false"/>
        <w:pBdr/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3" w:name="_Hlk172190647"/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таблицу 16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bookmarkEnd w:id="3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Таблица 16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Размеры базовых окладов руководителей организаций молодежной политики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tbl>
      <w:tblPr>
        <w:tblW w:w="10201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  <w:tblStyle w:val="1024"/>
      </w:tblPr>
      <w:tblGrid>
        <w:gridCol w:w="704"/>
        <w:gridCol w:w="3827"/>
        <w:gridCol w:w="2410"/>
        <w:gridCol w:w="3260"/>
      </w:tblGrid>
      <w:tr>
        <w:trPr/>
        <w:tc>
          <w:tcPr>
            <w:tcBorders/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типа организации/штатная численность организации, единиц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Группа по оплате труда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клад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W w:w="10201" w:type="dxa"/>
        <w:tblBorders/>
        <w:tblLayout w:type="fixed"/>
        <w:tblLook w:val="0000" w:firstRow="0" w:lastRow="0" w:firstColumn="0" w:lastColumn="0" w:noHBand="0" w:noVBand="0"/>
        <w:tblStyle w:val="1024"/>
      </w:tblPr>
      <w:tblGrid>
        <w:gridCol w:w="704"/>
        <w:gridCol w:w="3827"/>
        <w:gridCol w:w="2410"/>
        <w:gridCol w:w="3260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Молодежные центры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38 720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30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43 200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31 до 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48 640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51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51 910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 до 150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54 090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151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60 740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Оздоровительно-досуговые учреждения (лагеря)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41 140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44 170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Молодежные (подростковые) клубы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12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38 720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13 до 25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44 170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26 до 40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9 730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41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51 910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 до 140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55 300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141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80 470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военно-патриотической работы и подготовки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допризывной молодежи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32 670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20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42 830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21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53 000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молодежных (студенческих) формирований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 охране общественного порядка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40 540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30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46 460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31 до 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47 670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51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48 880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 до 90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50 090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91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51 300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по организации оздоровления, отдыха и занятости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45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49 610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46 до 90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54 450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91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59 290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студенческих трудовых отрядов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47 430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30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48 640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31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49 850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психолого-педагогической помощи детям и молодежи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48 520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25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52 150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26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55 780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6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экстренной психологической помощи по телефону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для детей и молодежи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47 190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30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52 030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31 до 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56 870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51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61 710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67 760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Социально-реабилитационный центр для детей с девиантным поведением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55 660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21 до 40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58 080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41 до 60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60 500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61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62 920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содействия молодежи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12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38 720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13 до 25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44 170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26 до 40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49 730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41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51 910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 до 140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55 300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141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80 470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Республиканские центры молодежных, инновационных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 профилактических программ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38 720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11 до 30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43 200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31 до 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48 640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51 до 70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51 910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71 до 150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54 090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 151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60 740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1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Для руководителей государственных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политики по профилю деятельности устанавливается повышающий коэффициент к базовому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окладу в размере 1,1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9"/>
        <w:pBdr/>
        <w:spacing w:after="0" w:line="23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9"/>
        <w:widowControl w:val="false"/>
        <w:pBdr/>
        <w:tabs>
          <w:tab w:val="left" w:leader="none" w:pos="993"/>
        </w:tabs>
        <w:spacing w:after="0" w:line="360" w:lineRule="auto"/>
        <w:ind w:firstLine="851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II Положения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молодежной политики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утвержденного указанным постановлением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9"/>
        <w:pBdr/>
        <w:tabs>
          <w:tab w:val="left" w:leader="none" w:pos="993"/>
        </w:tabs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II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Определение базовых окладов работников профессиональных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квалификационных групп общеотраслевых профессий рабочих,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рабочих культуры, искусства и кинематографии, общеотраслевых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должностей руководителей, специалистов и служащих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организаций молодежной политики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Bdr/>
        <w:tabs>
          <w:tab w:val="left" w:leader="none" w:pos="99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Bdr/>
        <w:tabs>
          <w:tab w:val="left" w:leader="none" w:pos="993"/>
        </w:tabs>
        <w:spacing w:after="0" w:line="360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 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  <w:tblStyle w:val="1024"/>
      </w:tblPr>
      <w:tblGrid>
        <w:gridCol w:w="5807"/>
        <w:gridCol w:w="4536"/>
      </w:tblGrid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343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профессии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343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pStyle w:val="1009"/>
              <w:pBdr/>
              <w:spacing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9"/>
        <w:pBdr/>
        <w:tabs>
          <w:tab w:val="left" w:leader="none" w:pos="993"/>
        </w:tabs>
        <w:spacing w:after="0" w:line="240" w:lineRule="auto"/>
        <w:ind w:right="0" w:firstLine="85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 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9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  <w:tblStyle w:val="1024"/>
      </w:tblPr>
      <w:tblGrid>
        <w:gridCol w:w="5807"/>
        <w:gridCol w:w="4394"/>
      </w:tblGrid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807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 w:line="264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   29 480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».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09"/>
        <w:pBdr/>
        <w:spacing w:after="0" w:line="23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numPr>
          <w:ilvl w:val="0"/>
          <w:numId w:val="11"/>
        </w:numPr>
        <w:pBdr/>
        <w:tabs>
          <w:tab w:val="left" w:leader="none" w:pos="993"/>
        </w:tabs>
        <w:spacing w:line="23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</w:t>
      </w:r>
      <w:r>
        <w:rPr>
          <w:rFonts w:ascii="Times New Roman" w:hAnsi="Times New Roman"/>
          <w:sz w:val="28"/>
          <w:szCs w:val="28"/>
          <w:highlight w:val="none"/>
        </w:rPr>
        <w:t xml:space="preserve"> настоящее постановление вступает в силу с 1 </w:t>
      </w:r>
      <w:r>
        <w:rPr>
          <w:rFonts w:ascii="Times New Roman" w:hAnsi="Times New Roman"/>
          <w:sz w:val="28"/>
          <w:szCs w:val="28"/>
          <w:highlight w:val="none"/>
        </w:rPr>
        <w:t xml:space="preserve">января </w:t>
      </w:r>
      <w:r>
        <w:rPr>
          <w:rFonts w:ascii="Times New Roman" w:hAnsi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/>
          <w:sz w:val="28"/>
          <w:szCs w:val="28"/>
          <w:highlight w:val="none"/>
        </w:rPr>
        <w:t xml:space="preserve">6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А.В.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Песошин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left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right" w:leader="none" w:pos="1020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continuous"/>
          <w:pgSz w:h="16838" w:orient="portrait" w:w="11905"/>
          <w:pgMar w:top="1134" w:right="567" w:bottom="1134" w:left="1134" w:header="567" w:footer="0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1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19"/>
        <w:pBdr/>
        <w:spacing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изменений в постановление Кабинета Министров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1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 от 14.08.2018 № 665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Об условиях оплаты труда работников государственных организаций молодежной политики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1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 внесении изменений в постановление Кабинета</w:t>
      </w:r>
      <w:r>
        <w:rPr>
          <w:rFonts w:ascii="Times New Roman" w:hAnsi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14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.08.201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8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№ 6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65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Об условиях оплаты труда работн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иков государственных организаций молодежной политики Республики Татарстан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»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разработан во исполнение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поручения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Раиса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Р.Н.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35612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-МР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повышени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вносятся изменения в </w:t>
      </w:r>
      <w:hyperlink r:id="rId12" w:tooltip="https://login.consultant.ru/link/?req=doc&amp;base=RLAW363&amp;n=178191&amp;dst=100019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 условия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Татарстан;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Положение об условиях оплаты труда работник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молодежной политики Рес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величени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базовых окладов работников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организаций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молодежной политики и отдельных нетиповых организаций, подведомственных Министерству по делам молодежи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rFonts w:ascii="Times New Roman" w:hAnsi="Times New Roman" w:cs="Times New Roman"/>
          <w:sz w:val="28"/>
          <w:szCs w:val="28"/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09"/>
        <w:pBdr/>
        <w:spacing w:after="0" w:line="240" w:lineRule="auto"/>
        <w:ind w:left="1211"/>
        <w:jc w:val="center"/>
        <w:rPr>
          <w:rFonts w:ascii="Times New Roman" w:hAnsi="Times New Roman" w:cs="Times New Roman"/>
          <w:bCs/>
          <w:i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Cs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67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09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09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09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09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09924245"/>
      <w:docPartObj>
        <w:docPartGallery w:val="Page Numbers (Top of Page)"/>
        <w:docPartUnique w:val="true"/>
      </w:docPartObj>
      <w:rPr/>
    </w:sdtPr>
    <w:sdtContent>
      <w:p>
        <w:pPr>
          <w:pStyle w:val="1011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1011"/>
      <w:pBdr/>
      <w:spacing/>
      <w:ind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1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 w:eastAsiaTheme="minorEastAsia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 w:eastAsiaTheme="minorEastAsia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 w:eastAsiaTheme="minorEastAsia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 w:eastAsiaTheme="minorEastAsia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 w:eastAsiaTheme="minorEastAsia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 w:eastAsiaTheme="minorEastAsia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 w:eastAsiaTheme="minorEastAsia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 w:eastAsiaTheme="minorEastAsia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7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upperRoman"/>
      <w:pPr>
        <w:pBdr/>
        <w:spacing/>
        <w:ind w:hanging="720" w:left="144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80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6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2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80"/>
      </w:pPr>
      <w:rPr>
        <w:rFonts w:hint="default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430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145"/>
      </w:pPr>
      <w:rPr>
        <w:rFonts w:hint="default"/>
      </w:rPr>
      <w:start w:val="8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570"/>
      </w:pPr>
      <w:rPr>
        <w:rFonts w:hint="default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355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7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56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5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775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560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450" w:left="1301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810" w:left="81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810" w:left="1306"/>
      </w:pPr>
      <w:rPr>
        <w:rFonts w:hint="default"/>
      </w:rPr>
      <w:start w:val="1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810" w:left="1520"/>
      </w:pPr>
      <w:rPr>
        <w:rFonts w:hint="default"/>
      </w:rPr>
      <w:start w:val="8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6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06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92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77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27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128"/>
      </w:pPr>
      <w:rPr>
        <w:rFonts w:hint="default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6"/>
  </w:num>
  <w:num w:numId="5">
    <w:abstractNumId w:val="31"/>
  </w:num>
  <w:num w:numId="6">
    <w:abstractNumId w:val="30"/>
  </w:num>
  <w:num w:numId="7">
    <w:abstractNumId w:val="4"/>
  </w:num>
  <w:num w:numId="8">
    <w:abstractNumId w:val="8"/>
  </w:num>
  <w:num w:numId="9">
    <w:abstractNumId w:val="3"/>
  </w:num>
  <w:num w:numId="10">
    <w:abstractNumId w:val="25"/>
  </w:num>
  <w:num w:numId="11">
    <w:abstractNumId w:val="29"/>
  </w:num>
  <w:num w:numId="12">
    <w:abstractNumId w:val="12"/>
  </w:num>
  <w:num w:numId="13">
    <w:abstractNumId w:val="14"/>
  </w:num>
  <w:num w:numId="14">
    <w:abstractNumId w:val="21"/>
  </w:num>
  <w:num w:numId="15">
    <w:abstractNumId w:val="11"/>
  </w:num>
  <w:num w:numId="16">
    <w:abstractNumId w:val="17"/>
  </w:num>
  <w:num w:numId="17">
    <w:abstractNumId w:val="18"/>
  </w:num>
  <w:num w:numId="18">
    <w:abstractNumId w:val="33"/>
  </w:num>
  <w:num w:numId="19">
    <w:abstractNumId w:val="6"/>
  </w:num>
  <w:num w:numId="20">
    <w:abstractNumId w:val="23"/>
  </w:num>
  <w:num w:numId="21">
    <w:abstractNumId w:val="27"/>
  </w:num>
  <w:num w:numId="22">
    <w:abstractNumId w:val="13"/>
  </w:num>
  <w:num w:numId="23">
    <w:abstractNumId w:val="10"/>
  </w:num>
  <w:num w:numId="24">
    <w:abstractNumId w:val="7"/>
  </w:num>
  <w:num w:numId="25">
    <w:abstractNumId w:val="20"/>
  </w:num>
  <w:num w:numId="26">
    <w:abstractNumId w:val="16"/>
  </w:num>
  <w:num w:numId="27">
    <w:abstractNumId w:val="15"/>
  </w:num>
  <w:num w:numId="28">
    <w:abstractNumId w:val="2"/>
  </w:num>
  <w:num w:numId="29">
    <w:abstractNumId w:val="28"/>
  </w:num>
  <w:num w:numId="30">
    <w:abstractNumId w:val="24"/>
  </w:num>
  <w:num w:numId="31">
    <w:abstractNumId w:val="1"/>
  </w:num>
  <w:num w:numId="32">
    <w:abstractNumId w:val="19"/>
  </w:num>
  <w:num w:numId="33">
    <w:abstractNumId w:val="32"/>
  </w:num>
  <w:num w:numId="34">
    <w:abstractNumId w:val="5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5">
    <w:name w:val="Table Grid Light"/>
    <w:basedOn w:val="10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1"/>
    <w:basedOn w:val="10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2"/>
    <w:basedOn w:val="10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1 Light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2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3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3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1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2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4 - Accent 3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4 - Accent 4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 - Accent 5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6"/>
    <w:basedOn w:val="10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6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7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7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1 Light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2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2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3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3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4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5 Dark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1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2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ned - Accent 3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ned - Accent 4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 5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6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1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2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 &amp; Lined - Accent 3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&amp; Lined - Accent 4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 5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6"/>
    <w:basedOn w:val="10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1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2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- Accent 3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- Accent 4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- Accent 5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6"/>
    <w:basedOn w:val="10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0">
    <w:name w:val="Heading 1"/>
    <w:basedOn w:val="1005"/>
    <w:next w:val="1005"/>
    <w:link w:val="9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51">
    <w:name w:val="Heading 2"/>
    <w:basedOn w:val="1005"/>
    <w:next w:val="1005"/>
    <w:link w:val="9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52">
    <w:name w:val="Heading 3"/>
    <w:basedOn w:val="1005"/>
    <w:next w:val="1005"/>
    <w:link w:val="9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3">
    <w:name w:val="Heading 4"/>
    <w:basedOn w:val="1005"/>
    <w:next w:val="1005"/>
    <w:link w:val="9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4">
    <w:name w:val="Heading 5"/>
    <w:basedOn w:val="1005"/>
    <w:next w:val="1005"/>
    <w:link w:val="9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5">
    <w:name w:val="Heading 6"/>
    <w:basedOn w:val="1005"/>
    <w:next w:val="1005"/>
    <w:link w:val="9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6">
    <w:name w:val="Heading 7"/>
    <w:basedOn w:val="1005"/>
    <w:next w:val="1005"/>
    <w:link w:val="9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57">
    <w:name w:val="Heading 8"/>
    <w:basedOn w:val="1005"/>
    <w:next w:val="1005"/>
    <w:link w:val="9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58">
    <w:name w:val="Heading 9"/>
    <w:basedOn w:val="1005"/>
    <w:next w:val="1005"/>
    <w:link w:val="9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59">
    <w:name w:val="Heading 1 Char"/>
    <w:basedOn w:val="1006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0">
    <w:name w:val="Heading 2 Char"/>
    <w:basedOn w:val="1006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1">
    <w:name w:val="Heading 3 Char"/>
    <w:basedOn w:val="1006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2">
    <w:name w:val="Heading 4 Char"/>
    <w:basedOn w:val="1006"/>
    <w:link w:val="9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3">
    <w:name w:val="Heading 5 Char"/>
    <w:basedOn w:val="1006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4">
    <w:name w:val="Heading 6 Char"/>
    <w:basedOn w:val="1006"/>
    <w:link w:val="9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5">
    <w:name w:val="Heading 7 Char"/>
    <w:basedOn w:val="1006"/>
    <w:link w:val="9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6">
    <w:name w:val="Heading 8 Char"/>
    <w:basedOn w:val="1006"/>
    <w:link w:val="9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7">
    <w:name w:val="Heading 9 Char"/>
    <w:basedOn w:val="1006"/>
    <w:link w:val="9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8">
    <w:name w:val="Title"/>
    <w:basedOn w:val="1005"/>
    <w:next w:val="1005"/>
    <w:link w:val="9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9">
    <w:name w:val="Title Char"/>
    <w:basedOn w:val="1006"/>
    <w:link w:val="9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0">
    <w:name w:val="Subtitle"/>
    <w:basedOn w:val="1005"/>
    <w:next w:val="1005"/>
    <w:link w:val="9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1">
    <w:name w:val="Subtitle Char"/>
    <w:basedOn w:val="1006"/>
    <w:link w:val="9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2">
    <w:name w:val="Quote"/>
    <w:basedOn w:val="1005"/>
    <w:next w:val="1005"/>
    <w:link w:val="9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3">
    <w:name w:val="Quote Char"/>
    <w:basedOn w:val="1006"/>
    <w:link w:val="9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4">
    <w:name w:val="Intense Emphasis"/>
    <w:basedOn w:val="10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5">
    <w:name w:val="Intense Quote"/>
    <w:basedOn w:val="1005"/>
    <w:next w:val="1005"/>
    <w:link w:val="9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6">
    <w:name w:val="Intense Quote Char"/>
    <w:basedOn w:val="1006"/>
    <w:link w:val="9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7">
    <w:name w:val="Intense Reference"/>
    <w:basedOn w:val="10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78">
    <w:name w:val="No Spacing"/>
    <w:basedOn w:val="1005"/>
    <w:uiPriority w:val="1"/>
    <w:qFormat/>
    <w:pPr>
      <w:pBdr/>
      <w:spacing w:after="0" w:line="240" w:lineRule="auto"/>
      <w:ind/>
    </w:pPr>
  </w:style>
  <w:style w:type="character" w:styleId="979">
    <w:name w:val="Subtle Emphasis"/>
    <w:basedOn w:val="10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0">
    <w:name w:val="Emphasis"/>
    <w:basedOn w:val="1006"/>
    <w:uiPriority w:val="20"/>
    <w:qFormat/>
    <w:pPr>
      <w:pBdr/>
      <w:spacing/>
      <w:ind/>
    </w:pPr>
    <w:rPr>
      <w:i/>
      <w:iCs/>
    </w:rPr>
  </w:style>
  <w:style w:type="character" w:styleId="981">
    <w:name w:val="Strong"/>
    <w:basedOn w:val="1006"/>
    <w:uiPriority w:val="22"/>
    <w:qFormat/>
    <w:pPr>
      <w:pBdr/>
      <w:spacing/>
      <w:ind/>
    </w:pPr>
    <w:rPr>
      <w:b/>
      <w:bCs/>
    </w:rPr>
  </w:style>
  <w:style w:type="character" w:styleId="982">
    <w:name w:val="Subtle Reference"/>
    <w:basedOn w:val="10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3">
    <w:name w:val="Book Title"/>
    <w:basedOn w:val="10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4">
    <w:name w:val="Header Char"/>
    <w:basedOn w:val="1006"/>
    <w:link w:val="1011"/>
    <w:uiPriority w:val="99"/>
    <w:pPr>
      <w:pBdr/>
      <w:spacing/>
      <w:ind/>
    </w:pPr>
  </w:style>
  <w:style w:type="character" w:styleId="985">
    <w:name w:val="Footer Char"/>
    <w:basedOn w:val="1006"/>
    <w:link w:val="1013"/>
    <w:uiPriority w:val="99"/>
    <w:pPr>
      <w:pBdr/>
      <w:spacing/>
      <w:ind/>
    </w:pPr>
  </w:style>
  <w:style w:type="paragraph" w:styleId="986">
    <w:name w:val="Caption"/>
    <w:basedOn w:val="1005"/>
    <w:next w:val="10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87">
    <w:name w:val="footnote text"/>
    <w:basedOn w:val="1005"/>
    <w:link w:val="9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8">
    <w:name w:val="Footnote Text Char"/>
    <w:basedOn w:val="1006"/>
    <w:link w:val="987"/>
    <w:uiPriority w:val="99"/>
    <w:semiHidden/>
    <w:pPr>
      <w:pBdr/>
      <w:spacing/>
      <w:ind/>
    </w:pPr>
    <w:rPr>
      <w:sz w:val="20"/>
      <w:szCs w:val="20"/>
    </w:rPr>
  </w:style>
  <w:style w:type="character" w:styleId="989">
    <w:name w:val="foot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paragraph" w:styleId="990">
    <w:name w:val="endnote text"/>
    <w:basedOn w:val="1005"/>
    <w:link w:val="9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1">
    <w:name w:val="Endnote Text Char"/>
    <w:basedOn w:val="1006"/>
    <w:link w:val="990"/>
    <w:uiPriority w:val="99"/>
    <w:semiHidden/>
    <w:pPr>
      <w:pBdr/>
      <w:spacing/>
      <w:ind/>
    </w:pPr>
    <w:rPr>
      <w:sz w:val="20"/>
      <w:szCs w:val="20"/>
    </w:rPr>
  </w:style>
  <w:style w:type="character" w:styleId="992">
    <w:name w:val="endnote reference"/>
    <w:basedOn w:val="1006"/>
    <w:uiPriority w:val="99"/>
    <w:semiHidden/>
    <w:unhideWhenUsed/>
    <w:pPr>
      <w:pBdr/>
      <w:spacing/>
      <w:ind/>
    </w:pPr>
    <w:rPr>
      <w:vertAlign w:val="superscript"/>
    </w:rPr>
  </w:style>
  <w:style w:type="character" w:styleId="993">
    <w:name w:val="FollowedHyperlink"/>
    <w:basedOn w:val="10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4">
    <w:name w:val="toc 1"/>
    <w:basedOn w:val="1005"/>
    <w:next w:val="1005"/>
    <w:uiPriority w:val="39"/>
    <w:unhideWhenUsed/>
    <w:pPr>
      <w:pBdr/>
      <w:spacing w:after="100"/>
      <w:ind/>
    </w:pPr>
  </w:style>
  <w:style w:type="paragraph" w:styleId="995">
    <w:name w:val="toc 2"/>
    <w:basedOn w:val="1005"/>
    <w:next w:val="1005"/>
    <w:uiPriority w:val="39"/>
    <w:unhideWhenUsed/>
    <w:pPr>
      <w:pBdr/>
      <w:spacing w:after="100"/>
      <w:ind w:left="220"/>
    </w:pPr>
  </w:style>
  <w:style w:type="paragraph" w:styleId="996">
    <w:name w:val="toc 3"/>
    <w:basedOn w:val="1005"/>
    <w:next w:val="1005"/>
    <w:uiPriority w:val="39"/>
    <w:unhideWhenUsed/>
    <w:pPr>
      <w:pBdr/>
      <w:spacing w:after="100"/>
      <w:ind w:left="440"/>
    </w:pPr>
  </w:style>
  <w:style w:type="paragraph" w:styleId="997">
    <w:name w:val="toc 4"/>
    <w:basedOn w:val="1005"/>
    <w:next w:val="1005"/>
    <w:uiPriority w:val="39"/>
    <w:unhideWhenUsed/>
    <w:pPr>
      <w:pBdr/>
      <w:spacing w:after="100"/>
      <w:ind w:left="660"/>
    </w:pPr>
  </w:style>
  <w:style w:type="paragraph" w:styleId="998">
    <w:name w:val="toc 5"/>
    <w:basedOn w:val="1005"/>
    <w:next w:val="1005"/>
    <w:uiPriority w:val="39"/>
    <w:unhideWhenUsed/>
    <w:pPr>
      <w:pBdr/>
      <w:spacing w:after="100"/>
      <w:ind w:left="880"/>
    </w:pPr>
  </w:style>
  <w:style w:type="paragraph" w:styleId="999">
    <w:name w:val="toc 6"/>
    <w:basedOn w:val="1005"/>
    <w:next w:val="1005"/>
    <w:uiPriority w:val="39"/>
    <w:unhideWhenUsed/>
    <w:pPr>
      <w:pBdr/>
      <w:spacing w:after="100"/>
      <w:ind w:left="1100"/>
    </w:pPr>
  </w:style>
  <w:style w:type="paragraph" w:styleId="1000">
    <w:name w:val="toc 7"/>
    <w:basedOn w:val="1005"/>
    <w:next w:val="1005"/>
    <w:uiPriority w:val="39"/>
    <w:unhideWhenUsed/>
    <w:pPr>
      <w:pBdr/>
      <w:spacing w:after="100"/>
      <w:ind w:left="1320"/>
    </w:pPr>
  </w:style>
  <w:style w:type="paragraph" w:styleId="1001">
    <w:name w:val="toc 8"/>
    <w:basedOn w:val="1005"/>
    <w:next w:val="1005"/>
    <w:uiPriority w:val="39"/>
    <w:unhideWhenUsed/>
    <w:pPr>
      <w:pBdr/>
      <w:spacing w:after="100"/>
      <w:ind w:left="1540"/>
    </w:pPr>
  </w:style>
  <w:style w:type="paragraph" w:styleId="1002">
    <w:name w:val="toc 9"/>
    <w:basedOn w:val="1005"/>
    <w:next w:val="1005"/>
    <w:uiPriority w:val="39"/>
    <w:unhideWhenUsed/>
    <w:pPr>
      <w:pBdr/>
      <w:spacing w:after="100"/>
      <w:ind w:left="1760"/>
    </w:p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1005"/>
    <w:next w:val="1005"/>
    <w:uiPriority w:val="99"/>
    <w:unhideWhenUsed/>
    <w:pPr>
      <w:pBdr/>
      <w:spacing w:after="0" w:afterAutospacing="0"/>
      <w:ind/>
    </w:pPr>
  </w:style>
  <w:style w:type="paragraph" w:styleId="1005" w:default="1">
    <w:name w:val="Normal"/>
    <w:qFormat/>
    <w:pPr>
      <w:pBdr/>
      <w:spacing/>
      <w:ind/>
    </w:pPr>
  </w:style>
  <w:style w:type="character" w:styleId="1006" w:default="1">
    <w:name w:val="Default Paragraph Font"/>
    <w:uiPriority w:val="1"/>
    <w:semiHidden/>
    <w:unhideWhenUsed/>
    <w:pPr>
      <w:pBdr/>
      <w:spacing/>
      <w:ind/>
    </w:pPr>
  </w:style>
  <w:style w:type="table" w:styleId="10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paragraph" w:styleId="1009">
    <w:name w:val="List Paragraph"/>
    <w:basedOn w:val="1005"/>
    <w:uiPriority w:val="34"/>
    <w:qFormat/>
    <w:pPr>
      <w:pBdr/>
      <w:spacing/>
      <w:ind w:left="720"/>
      <w:contextualSpacing w:val="true"/>
    </w:pPr>
  </w:style>
  <w:style w:type="table" w:styleId="1010">
    <w:name w:val="Table Grid"/>
    <w:basedOn w:val="10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1">
    <w:name w:val="Header"/>
    <w:basedOn w:val="1005"/>
    <w:link w:val="10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2" w:customStyle="1">
    <w:name w:val="Верхний колонтитул Знак"/>
    <w:basedOn w:val="1006"/>
    <w:link w:val="1011"/>
    <w:uiPriority w:val="99"/>
    <w:pPr>
      <w:pBdr/>
      <w:spacing/>
      <w:ind/>
    </w:pPr>
  </w:style>
  <w:style w:type="paragraph" w:styleId="1013">
    <w:name w:val="Footer"/>
    <w:basedOn w:val="1005"/>
    <w:link w:val="10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4" w:customStyle="1">
    <w:name w:val="Нижний колонтитул Знак"/>
    <w:basedOn w:val="1006"/>
    <w:link w:val="1013"/>
    <w:uiPriority w:val="99"/>
    <w:pPr>
      <w:pBdr/>
      <w:spacing/>
      <w:ind/>
    </w:pPr>
  </w:style>
  <w:style w:type="paragraph" w:styleId="1015">
    <w:name w:val="Document Map"/>
    <w:basedOn w:val="1005"/>
    <w:link w:val="101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16" w:customStyle="1">
    <w:name w:val="Схема документа Знак"/>
    <w:basedOn w:val="1006"/>
    <w:link w:val="101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7">
    <w:name w:val="Balloon Text"/>
    <w:basedOn w:val="1005"/>
    <w:link w:val="101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18" w:customStyle="1">
    <w:name w:val="Текст выноски Знак"/>
    <w:basedOn w:val="1006"/>
    <w:link w:val="10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19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20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21">
    <w:name w:val="Hyperlink"/>
    <w:basedOn w:val="100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2">
    <w:name w:val="Placeholder Text"/>
    <w:basedOn w:val="1006"/>
    <w:uiPriority w:val="99"/>
    <w:semiHidden/>
    <w:pPr>
      <w:pBdr/>
      <w:spacing/>
      <w:ind/>
    </w:pPr>
    <w:rPr>
      <w:color w:val="666666"/>
    </w:rPr>
  </w:style>
  <w:style w:type="character" w:styleId="1023" w:customStyle="1">
    <w:name w:val="Неразрешенное упоминание1"/>
    <w:basedOn w:val="100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24">
    <w:name w:val="Grid Table Light"/>
    <w:basedOn w:val="1007"/>
    <w:uiPriority w:val="40"/>
    <w:pPr>
      <w:pBdr/>
      <w:spacing w:after="0" w:line="240" w:lineRule="auto"/>
      <w:ind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363&amp;n=178191&amp;dst=1000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FC57-D4B6-44E4-8945-37197B78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mitrofanova</dc:creator>
  <cp:keywords/>
  <dc:description/>
  <cp:revision>24</cp:revision>
  <dcterms:created xsi:type="dcterms:W3CDTF">2024-08-12T11:33:00Z</dcterms:created>
  <dcterms:modified xsi:type="dcterms:W3CDTF">2025-08-11T07:08:50Z</dcterms:modified>
</cp:coreProperties>
</file>